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0BC" w:rsidRPr="00B13ED4" w:rsidRDefault="007500BC" w:rsidP="007500BC">
      <w:pPr>
        <w:jc w:val="center"/>
        <w:rPr>
          <w:rFonts w:ascii="Times New Roman" w:hAnsi="Times New Roman" w:cs="Times New Roman"/>
          <w:b/>
          <w:sz w:val="24"/>
          <w:szCs w:val="24"/>
        </w:rPr>
      </w:pPr>
      <w:r w:rsidRPr="00B13ED4">
        <w:rPr>
          <w:rFonts w:ascii="Times New Roman" w:hAnsi="Times New Roman" w:cs="Times New Roman"/>
          <w:b/>
          <w:sz w:val="24"/>
          <w:szCs w:val="24"/>
        </w:rPr>
        <w:t>DYNAMIC CAUSAL RE</w:t>
      </w:r>
      <w:r>
        <w:rPr>
          <w:rFonts w:ascii="Times New Roman" w:hAnsi="Times New Roman" w:cs="Times New Roman"/>
          <w:b/>
          <w:sz w:val="24"/>
          <w:szCs w:val="24"/>
        </w:rPr>
        <w:t>LATIONSHIP BETWEEN ISLAMIC BANKING</w:t>
      </w:r>
      <w:r w:rsidRPr="00B13ED4">
        <w:rPr>
          <w:rFonts w:ascii="Times New Roman" w:hAnsi="Times New Roman" w:cs="Times New Roman"/>
          <w:b/>
          <w:sz w:val="24"/>
          <w:szCs w:val="24"/>
        </w:rPr>
        <w:t xml:space="preserve"> AND ECONOMIC GROWTH: </w:t>
      </w:r>
      <w:r w:rsidR="000D1D1D">
        <w:rPr>
          <w:rFonts w:ascii="Times New Roman" w:hAnsi="Times New Roman" w:cs="Times New Roman"/>
          <w:b/>
          <w:sz w:val="24"/>
          <w:szCs w:val="24"/>
        </w:rPr>
        <w:t>MALAYSIAN EVIDENCE</w:t>
      </w:r>
    </w:p>
    <w:p w:rsidR="007500BC" w:rsidRDefault="007500BC" w:rsidP="007500BC">
      <w:pPr>
        <w:tabs>
          <w:tab w:val="left" w:pos="258"/>
        </w:tabs>
        <w:rPr>
          <w:rFonts w:ascii="Times New Roman" w:hAnsi="Times New Roman" w:cs="Times New Roman"/>
          <w:sz w:val="24"/>
          <w:szCs w:val="24"/>
        </w:rPr>
      </w:pPr>
      <w:r>
        <w:rPr>
          <w:rFonts w:ascii="Times New Roman" w:hAnsi="Times New Roman" w:cs="Times New Roman"/>
          <w:sz w:val="24"/>
          <w:szCs w:val="24"/>
        </w:rPr>
        <w:tab/>
      </w:r>
    </w:p>
    <w:p w:rsidR="007500BC" w:rsidRPr="009708C1" w:rsidRDefault="000D1D1D" w:rsidP="007500BC">
      <w:pPr>
        <w:pStyle w:val="BodyTextCalibri"/>
        <w:spacing w:after="0"/>
        <w:jc w:val="center"/>
        <w:rPr>
          <w:rFonts w:ascii="Times New Roman" w:hAnsi="Times New Roman" w:cs="Times New Roman"/>
          <w:b/>
          <w:sz w:val="24"/>
          <w:szCs w:val="24"/>
        </w:rPr>
      </w:pPr>
      <w:r>
        <w:rPr>
          <w:rFonts w:ascii="Times New Roman" w:hAnsi="Times New Roman"/>
          <w:b/>
          <w:sz w:val="24"/>
          <w:szCs w:val="24"/>
        </w:rPr>
        <w:t>Ahmad Khaliq</w:t>
      </w:r>
      <w:r>
        <w:rPr>
          <w:rFonts w:ascii="Times New Roman" w:hAnsi="Times New Roman"/>
          <w:b/>
          <w:sz w:val="24"/>
          <w:szCs w:val="24"/>
          <w:vertAlign w:val="superscript"/>
        </w:rPr>
        <w:t>1</w:t>
      </w:r>
      <w:proofErr w:type="gramStart"/>
      <w:r>
        <w:rPr>
          <w:rFonts w:ascii="Times New Roman" w:hAnsi="Times New Roman"/>
          <w:b/>
          <w:sz w:val="24"/>
          <w:szCs w:val="24"/>
          <w:vertAlign w:val="superscript"/>
        </w:rPr>
        <w:t>*</w:t>
      </w:r>
      <w:r>
        <w:rPr>
          <w:rFonts w:ascii="Times New Roman" w:hAnsi="Times New Roman"/>
          <w:b/>
          <w:sz w:val="24"/>
          <w:szCs w:val="24"/>
          <w:vertAlign w:val="superscript"/>
        </w:rPr>
        <w:t xml:space="preserve"> </w:t>
      </w:r>
      <w:r>
        <w:rPr>
          <w:rFonts w:ascii="Times New Roman" w:hAnsi="Times New Roman"/>
          <w:b/>
          <w:sz w:val="24"/>
          <w:szCs w:val="24"/>
          <w:vertAlign w:val="superscript"/>
        </w:rPr>
        <w:t xml:space="preserve"> </w:t>
      </w:r>
      <w:r>
        <w:rPr>
          <w:rFonts w:ascii="Times New Roman" w:hAnsi="Times New Roman" w:cs="Times New Roman"/>
          <w:b/>
          <w:sz w:val="24"/>
          <w:szCs w:val="24"/>
        </w:rPr>
        <w:t>and</w:t>
      </w:r>
      <w:proofErr w:type="gramEnd"/>
      <w:r>
        <w:rPr>
          <w:rFonts w:ascii="Times New Roman" w:hAnsi="Times New Roman" w:cs="Times New Roman"/>
          <w:b/>
          <w:sz w:val="24"/>
          <w:szCs w:val="24"/>
        </w:rPr>
        <w:t xml:space="preserve"> H</w:t>
      </w:r>
      <w:r w:rsidR="007500BC">
        <w:rPr>
          <w:rFonts w:ascii="Times New Roman" w:hAnsi="Times New Roman" w:cs="Times New Roman"/>
          <w:b/>
          <w:sz w:val="24"/>
          <w:szCs w:val="24"/>
        </w:rPr>
        <w:t>assanudin Mohd Thas Thaker</w:t>
      </w:r>
      <w:r>
        <w:rPr>
          <w:rFonts w:ascii="Times New Roman" w:hAnsi="Times New Roman" w:cs="Times New Roman"/>
          <w:b/>
          <w:sz w:val="24"/>
          <w:szCs w:val="24"/>
          <w:vertAlign w:val="superscript"/>
        </w:rPr>
        <w:t>2</w:t>
      </w:r>
      <w:r w:rsidR="007500BC">
        <w:rPr>
          <w:rFonts w:ascii="Times New Roman" w:hAnsi="Times New Roman" w:cs="Times New Roman"/>
          <w:b/>
          <w:sz w:val="24"/>
          <w:szCs w:val="24"/>
          <w:vertAlign w:val="superscript"/>
        </w:rPr>
        <w:t>*</w:t>
      </w:r>
    </w:p>
    <w:p w:rsidR="007500BC" w:rsidRDefault="007500BC" w:rsidP="007500BC">
      <w:pPr>
        <w:pStyle w:val="BodyTextCalibri"/>
        <w:spacing w:after="0"/>
        <w:ind w:left="0"/>
        <w:rPr>
          <w:rFonts w:ascii="Times New Roman" w:hAnsi="Times New Roman" w:cs="Times New Roman"/>
          <w:b/>
          <w:sz w:val="28"/>
          <w:szCs w:val="28"/>
        </w:rPr>
      </w:pPr>
    </w:p>
    <w:p w:rsidR="000D1D1D" w:rsidRPr="000D1D1D" w:rsidRDefault="000D1D1D" w:rsidP="000D1D1D">
      <w:pPr>
        <w:spacing w:after="0" w:line="240" w:lineRule="auto"/>
        <w:jc w:val="both"/>
        <w:rPr>
          <w:rFonts w:ascii="Times New Roman" w:hAnsi="Times New Roman" w:cs="Times New Roman"/>
          <w:bCs/>
          <w:szCs w:val="24"/>
        </w:rPr>
      </w:pPr>
      <w:r>
        <w:rPr>
          <w:rFonts w:ascii="Times New Roman" w:hAnsi="Times New Roman" w:cs="Times New Roman"/>
          <w:szCs w:val="24"/>
          <w:vertAlign w:val="superscript"/>
        </w:rPr>
        <w:t>1*</w:t>
      </w:r>
      <w:r>
        <w:rPr>
          <w:rFonts w:ascii="Times New Roman" w:hAnsi="Times New Roman" w:cs="Times New Roman"/>
          <w:bCs/>
          <w:szCs w:val="24"/>
        </w:rPr>
        <w:t xml:space="preserve"> D</w:t>
      </w:r>
      <w:r w:rsidRPr="00016F74">
        <w:rPr>
          <w:rFonts w:ascii="Times New Roman" w:hAnsi="Times New Roman" w:cs="Times New Roman"/>
          <w:bCs/>
          <w:szCs w:val="24"/>
        </w:rPr>
        <w:t xml:space="preserve">epartment of Finance, </w:t>
      </w:r>
      <w:r>
        <w:rPr>
          <w:rFonts w:ascii="Times New Roman" w:hAnsi="Times New Roman" w:cs="Times New Roman"/>
          <w:bCs/>
          <w:szCs w:val="24"/>
        </w:rPr>
        <w:t>Kulliyyah</w:t>
      </w:r>
      <w:r w:rsidRPr="00016F74">
        <w:rPr>
          <w:rFonts w:ascii="Times New Roman" w:hAnsi="Times New Roman" w:cs="Times New Roman"/>
          <w:bCs/>
          <w:szCs w:val="24"/>
        </w:rPr>
        <w:t xml:space="preserve"> of Economics &amp; Management Sciences, International Islamic University Malaysia.</w:t>
      </w:r>
      <w:r>
        <w:rPr>
          <w:rFonts w:ascii="Times New Roman" w:hAnsi="Times New Roman" w:cs="Times New Roman"/>
          <w:bCs/>
          <w:szCs w:val="24"/>
        </w:rPr>
        <w:t xml:space="preserve"> Email: </w:t>
      </w:r>
      <w:hyperlink r:id="rId8" w:history="1">
        <w:r w:rsidRPr="00D37E16">
          <w:rPr>
            <w:rStyle w:val="Hyperlink"/>
            <w:rFonts w:ascii="Times New Roman" w:hAnsi="Times New Roman" w:cs="Times New Roman"/>
            <w:bCs/>
            <w:szCs w:val="24"/>
          </w:rPr>
          <w:t>amad.khaliq@gmail.com</w:t>
        </w:r>
      </w:hyperlink>
      <w:r>
        <w:rPr>
          <w:rFonts w:ascii="Times New Roman" w:hAnsi="Times New Roman" w:cs="Times New Roman"/>
          <w:bCs/>
          <w:szCs w:val="24"/>
        </w:rPr>
        <w:t xml:space="preserve"> </w:t>
      </w:r>
      <w:r w:rsidRPr="00016F74">
        <w:rPr>
          <w:rFonts w:ascii="Times New Roman" w:hAnsi="Times New Roman" w:cs="Times New Roman"/>
          <w:bCs/>
          <w:szCs w:val="24"/>
        </w:rPr>
        <w:t xml:space="preserve"> </w:t>
      </w:r>
    </w:p>
    <w:p w:rsidR="007500BC" w:rsidRPr="00016F74" w:rsidRDefault="000D1D1D" w:rsidP="007500BC">
      <w:pPr>
        <w:spacing w:after="0" w:line="240" w:lineRule="auto"/>
        <w:jc w:val="both"/>
        <w:rPr>
          <w:rFonts w:ascii="Times New Roman" w:hAnsi="Times New Roman" w:cs="Times New Roman"/>
          <w:bCs/>
          <w:szCs w:val="24"/>
        </w:rPr>
      </w:pPr>
      <w:r>
        <w:rPr>
          <w:rFonts w:ascii="Times New Roman" w:hAnsi="Times New Roman" w:cs="Times New Roman"/>
          <w:bCs/>
          <w:szCs w:val="24"/>
          <w:vertAlign w:val="superscript"/>
        </w:rPr>
        <w:t>2</w:t>
      </w:r>
      <w:r w:rsidR="001F7518">
        <w:rPr>
          <w:rFonts w:ascii="Times New Roman" w:hAnsi="Times New Roman" w:cs="Times New Roman"/>
          <w:bCs/>
          <w:szCs w:val="24"/>
          <w:vertAlign w:val="superscript"/>
        </w:rPr>
        <w:t>*</w:t>
      </w:r>
      <w:r w:rsidR="007500BC" w:rsidRPr="00016F74">
        <w:rPr>
          <w:rFonts w:ascii="Times New Roman" w:hAnsi="Times New Roman" w:cs="Times New Roman"/>
          <w:bCs/>
          <w:szCs w:val="24"/>
          <w:vertAlign w:val="superscript"/>
        </w:rPr>
        <w:t xml:space="preserve"> </w:t>
      </w:r>
      <w:r w:rsidR="007500BC" w:rsidRPr="00016F74">
        <w:rPr>
          <w:rFonts w:ascii="Times New Roman" w:hAnsi="Times New Roman" w:cs="Times New Roman"/>
          <w:szCs w:val="24"/>
        </w:rPr>
        <w:t>Faculty of Business, Economics and Accounting,</w:t>
      </w:r>
      <w:r>
        <w:rPr>
          <w:rFonts w:ascii="Times New Roman" w:hAnsi="Times New Roman" w:cs="Times New Roman"/>
          <w:szCs w:val="24"/>
        </w:rPr>
        <w:t xml:space="preserve"> HELP University, Malaysia</w:t>
      </w:r>
      <w:r w:rsidR="007500BC" w:rsidRPr="00016F74">
        <w:rPr>
          <w:rFonts w:ascii="Times New Roman" w:hAnsi="Times New Roman" w:cs="Times New Roman"/>
          <w:bCs/>
          <w:szCs w:val="24"/>
        </w:rPr>
        <w:t xml:space="preserve">. </w:t>
      </w:r>
      <w:r>
        <w:rPr>
          <w:rFonts w:ascii="Times New Roman" w:hAnsi="Times New Roman" w:cs="Times New Roman"/>
          <w:bCs/>
          <w:szCs w:val="24"/>
        </w:rPr>
        <w:t xml:space="preserve">Email: </w:t>
      </w:r>
      <w:hyperlink r:id="rId9" w:history="1">
        <w:r w:rsidRPr="00D37E16">
          <w:rPr>
            <w:rStyle w:val="Hyperlink"/>
            <w:rFonts w:ascii="Times New Roman" w:hAnsi="Times New Roman" w:cs="Times New Roman"/>
            <w:bCs/>
            <w:szCs w:val="24"/>
          </w:rPr>
          <w:t>hassanudinmtt@help.edu.my</w:t>
        </w:r>
      </w:hyperlink>
    </w:p>
    <w:p w:rsidR="007500BC" w:rsidRDefault="007500BC" w:rsidP="007500BC">
      <w:pPr>
        <w:rPr>
          <w:rFonts w:ascii="Times New Roman" w:hAnsi="Times New Roman" w:cs="Times New Roman"/>
          <w:sz w:val="24"/>
          <w:szCs w:val="24"/>
        </w:rPr>
      </w:pPr>
    </w:p>
    <w:p w:rsidR="007500BC" w:rsidRPr="00B13ED4" w:rsidRDefault="007500BC" w:rsidP="007500BC">
      <w:pPr>
        <w:jc w:val="center"/>
        <w:rPr>
          <w:rFonts w:ascii="Times New Roman" w:hAnsi="Times New Roman" w:cs="Times New Roman"/>
          <w:b/>
          <w:sz w:val="24"/>
          <w:szCs w:val="24"/>
        </w:rPr>
      </w:pPr>
      <w:r w:rsidRPr="00B13ED4">
        <w:rPr>
          <w:rFonts w:ascii="Times New Roman" w:hAnsi="Times New Roman" w:cs="Times New Roman"/>
          <w:b/>
          <w:sz w:val="24"/>
          <w:szCs w:val="24"/>
        </w:rPr>
        <w:t>Abstract</w:t>
      </w:r>
    </w:p>
    <w:p w:rsidR="007500BC" w:rsidRDefault="007500BC" w:rsidP="007500BC">
      <w:pPr>
        <w:pStyle w:val="NoSpacing"/>
        <w:jc w:val="both"/>
        <w:rPr>
          <w:rFonts w:ascii="Times New Roman" w:eastAsia="Times New Roman" w:hAnsi="Times New Roman" w:cs="Times New Roman"/>
          <w:sz w:val="24"/>
          <w:szCs w:val="24"/>
          <w:lang w:eastAsia="en-MY"/>
        </w:rPr>
      </w:pPr>
      <w:r w:rsidRPr="00B77E51">
        <w:rPr>
          <w:rFonts w:ascii="Times New Roman" w:hAnsi="Times New Roman" w:cs="Times New Roman"/>
          <w:sz w:val="24"/>
          <w:szCs w:val="24"/>
        </w:rPr>
        <w:t xml:space="preserve">Islamic banking and finance has emerged as one component of a significant competitive and comprehensive market, where it is reliable with conventional financial development in term of economic contribution.  As of today, Islamic banking accounts for minimum of 11 percent growth in Malaysia economic development and indirectly contributes to the global agenda of developing sustainable growth. Thus, this paper </w:t>
      </w:r>
      <w:r>
        <w:rPr>
          <w:rFonts w:ascii="Times New Roman" w:hAnsi="Times New Roman" w:cs="Times New Roman"/>
          <w:sz w:val="24"/>
          <w:szCs w:val="24"/>
        </w:rPr>
        <w:t xml:space="preserve">aim to </w:t>
      </w:r>
      <w:r w:rsidRPr="00B77E51">
        <w:rPr>
          <w:rFonts w:ascii="Times New Roman" w:hAnsi="Times New Roman" w:cs="Times New Roman"/>
          <w:sz w:val="24"/>
          <w:szCs w:val="24"/>
        </w:rPr>
        <w:t>empirically assess t</w:t>
      </w:r>
      <w:r>
        <w:rPr>
          <w:rFonts w:ascii="Times New Roman" w:hAnsi="Times New Roman" w:cs="Times New Roman"/>
          <w:sz w:val="24"/>
          <w:szCs w:val="24"/>
        </w:rPr>
        <w:t xml:space="preserve">he dynamic contribution of Islamic banking </w:t>
      </w:r>
      <w:r w:rsidRPr="00B77E51">
        <w:rPr>
          <w:rFonts w:ascii="Times New Roman" w:hAnsi="Times New Roman" w:cs="Times New Roman"/>
          <w:sz w:val="24"/>
          <w:szCs w:val="24"/>
        </w:rPr>
        <w:t>toward</w:t>
      </w:r>
      <w:r>
        <w:rPr>
          <w:rFonts w:ascii="Times New Roman" w:hAnsi="Times New Roman" w:cs="Times New Roman"/>
          <w:sz w:val="24"/>
          <w:szCs w:val="24"/>
        </w:rPr>
        <w:t>s</w:t>
      </w:r>
      <w:r w:rsidRPr="00B77E51">
        <w:rPr>
          <w:rFonts w:ascii="Times New Roman" w:hAnsi="Times New Roman" w:cs="Times New Roman"/>
          <w:sz w:val="24"/>
          <w:szCs w:val="24"/>
        </w:rPr>
        <w:t xml:space="preserve"> economic growth in Malaysia based on selected variables, namely, real gross domestic product (GDP)</w:t>
      </w:r>
      <w:r>
        <w:rPr>
          <w:rFonts w:ascii="Times New Roman" w:hAnsi="Times New Roman" w:cs="Times New Roman"/>
          <w:sz w:val="24"/>
          <w:szCs w:val="24"/>
        </w:rPr>
        <w:t xml:space="preserve">, total deposit, </w:t>
      </w:r>
      <w:r w:rsidRPr="00B77E51">
        <w:rPr>
          <w:rFonts w:ascii="Times New Roman" w:hAnsi="Times New Roman" w:cs="Times New Roman"/>
          <w:sz w:val="24"/>
          <w:szCs w:val="24"/>
        </w:rPr>
        <w:t xml:space="preserve">total financing, total assets and non – performing loan. </w:t>
      </w:r>
      <w:r>
        <w:rPr>
          <w:rFonts w:ascii="Times New Roman" w:hAnsi="Times New Roman" w:cs="Times New Roman"/>
          <w:sz w:val="24"/>
          <w:szCs w:val="24"/>
        </w:rPr>
        <w:t xml:space="preserve">The quarterly time – series data from </w:t>
      </w:r>
      <w:r>
        <w:rPr>
          <w:rFonts w:ascii="Times New Roman" w:hAnsi="Times New Roman" w:cs="Times New Roman"/>
          <w:iCs/>
          <w:sz w:val="24"/>
          <w:szCs w:val="24"/>
        </w:rPr>
        <w:t>(2007</w:t>
      </w:r>
      <w:r w:rsidRPr="00B77E51">
        <w:rPr>
          <w:rFonts w:ascii="Times New Roman" w:hAnsi="Times New Roman" w:cs="Times New Roman"/>
          <w:iCs/>
          <w:sz w:val="24"/>
          <w:szCs w:val="24"/>
        </w:rPr>
        <w:t>: Q1 – 2014</w:t>
      </w:r>
      <w:r w:rsidR="00E169D2">
        <w:rPr>
          <w:rFonts w:ascii="Times New Roman" w:hAnsi="Times New Roman" w:cs="Times New Roman"/>
          <w:iCs/>
          <w:sz w:val="24"/>
          <w:szCs w:val="24"/>
        </w:rPr>
        <w:t>: Q1) are used to uncover short–run and long–</w:t>
      </w:r>
      <w:r w:rsidRPr="00B77E51">
        <w:rPr>
          <w:rFonts w:ascii="Times New Roman" w:hAnsi="Times New Roman" w:cs="Times New Roman"/>
          <w:iCs/>
          <w:sz w:val="24"/>
          <w:szCs w:val="24"/>
        </w:rPr>
        <w:t>run relationship between real GDP and Islamic bank</w:t>
      </w:r>
      <w:r>
        <w:rPr>
          <w:rFonts w:ascii="Times New Roman" w:hAnsi="Times New Roman" w:cs="Times New Roman"/>
          <w:iCs/>
          <w:sz w:val="24"/>
          <w:szCs w:val="24"/>
        </w:rPr>
        <w:t>ing</w:t>
      </w:r>
      <w:r w:rsidRPr="00B77E51">
        <w:rPr>
          <w:rFonts w:ascii="Times New Roman" w:hAnsi="Times New Roman" w:cs="Times New Roman"/>
          <w:iCs/>
          <w:sz w:val="24"/>
          <w:szCs w:val="24"/>
        </w:rPr>
        <w:t xml:space="preserve"> key financial indicators. </w:t>
      </w:r>
      <w:r w:rsidRPr="00B77E51">
        <w:rPr>
          <w:rFonts w:ascii="Times New Roman" w:hAnsi="Times New Roman" w:cs="Times New Roman"/>
          <w:sz w:val="24"/>
          <w:szCs w:val="24"/>
        </w:rPr>
        <w:t>Using a battery of time series econometric techniques, we document that there is robust evidence suggesting favourable result where Islamic bank</w:t>
      </w:r>
      <w:r>
        <w:rPr>
          <w:rFonts w:ascii="Times New Roman" w:hAnsi="Times New Roman" w:cs="Times New Roman"/>
          <w:sz w:val="24"/>
          <w:szCs w:val="24"/>
        </w:rPr>
        <w:t>ing</w:t>
      </w:r>
      <w:r w:rsidRPr="00B77E51">
        <w:rPr>
          <w:rFonts w:ascii="Times New Roman" w:hAnsi="Times New Roman" w:cs="Times New Roman"/>
          <w:sz w:val="24"/>
          <w:szCs w:val="24"/>
        </w:rPr>
        <w:t xml:space="preserve"> do</w:t>
      </w:r>
      <w:r>
        <w:rPr>
          <w:rFonts w:ascii="Times New Roman" w:hAnsi="Times New Roman" w:cs="Times New Roman"/>
          <w:sz w:val="24"/>
          <w:szCs w:val="24"/>
        </w:rPr>
        <w:t>es</w:t>
      </w:r>
      <w:r w:rsidRPr="00B77E51">
        <w:rPr>
          <w:rFonts w:ascii="Times New Roman" w:hAnsi="Times New Roman" w:cs="Times New Roman"/>
          <w:sz w:val="24"/>
          <w:szCs w:val="24"/>
        </w:rPr>
        <w:t xml:space="preserve"> contribute towards </w:t>
      </w:r>
      <w:r>
        <w:rPr>
          <w:rFonts w:ascii="Times New Roman" w:hAnsi="Times New Roman" w:cs="Times New Roman"/>
          <w:sz w:val="24"/>
          <w:szCs w:val="24"/>
        </w:rPr>
        <w:t>economic growth in the</w:t>
      </w:r>
      <w:r w:rsidR="00E169D2">
        <w:rPr>
          <w:rFonts w:ascii="Times New Roman" w:hAnsi="Times New Roman" w:cs="Times New Roman"/>
          <w:sz w:val="24"/>
          <w:szCs w:val="24"/>
        </w:rPr>
        <w:t xml:space="preserve"> long-</w:t>
      </w:r>
      <w:r w:rsidR="00842BCC">
        <w:rPr>
          <w:rFonts w:ascii="Times New Roman" w:hAnsi="Times New Roman" w:cs="Times New Roman"/>
          <w:sz w:val="24"/>
          <w:szCs w:val="24"/>
        </w:rPr>
        <w:t xml:space="preserve">run where total deposit, </w:t>
      </w:r>
      <w:r>
        <w:rPr>
          <w:rFonts w:ascii="Times New Roman" w:hAnsi="Times New Roman" w:cs="Times New Roman"/>
          <w:sz w:val="24"/>
          <w:szCs w:val="24"/>
        </w:rPr>
        <w:t xml:space="preserve">total financing and total assets of Islamic banking have positive relationship where non – performing loan is found to have negative relationship. </w:t>
      </w:r>
      <w:r w:rsidRPr="00136BD8">
        <w:rPr>
          <w:rFonts w:ascii="Times New Roman" w:hAnsi="Times New Roman" w:cs="Times New Roman"/>
          <w:sz w:val="24"/>
          <w:szCs w:val="24"/>
        </w:rPr>
        <w:t>To test the causality relatio</w:t>
      </w:r>
      <w:r w:rsidR="00E169D2">
        <w:rPr>
          <w:rFonts w:ascii="Times New Roman" w:hAnsi="Times New Roman" w:cs="Times New Roman"/>
          <w:sz w:val="24"/>
          <w:szCs w:val="24"/>
        </w:rPr>
        <w:t>nship of variables in the short-</w:t>
      </w:r>
      <w:r w:rsidRPr="00136BD8">
        <w:rPr>
          <w:rFonts w:ascii="Times New Roman" w:hAnsi="Times New Roman" w:cs="Times New Roman"/>
          <w:sz w:val="24"/>
          <w:szCs w:val="24"/>
        </w:rPr>
        <w:t xml:space="preserve">run, the </w:t>
      </w:r>
      <w:r>
        <w:rPr>
          <w:rFonts w:ascii="Times New Roman" w:hAnsi="Times New Roman" w:cs="Times New Roman"/>
          <w:sz w:val="24"/>
          <w:szCs w:val="24"/>
        </w:rPr>
        <w:t xml:space="preserve">Wald – test Granger Causality </w:t>
      </w:r>
      <w:r w:rsidRPr="00136BD8">
        <w:rPr>
          <w:rFonts w:ascii="Times New Roman" w:hAnsi="Times New Roman" w:cs="Times New Roman"/>
          <w:sz w:val="24"/>
          <w:szCs w:val="24"/>
        </w:rPr>
        <w:t>has been carried out and it shows that there is</w:t>
      </w:r>
      <w:r>
        <w:rPr>
          <w:rFonts w:ascii="Times New Roman" w:hAnsi="Times New Roman" w:cs="Times New Roman"/>
          <w:sz w:val="24"/>
          <w:szCs w:val="24"/>
        </w:rPr>
        <w:t xml:space="preserve"> evidence of a</w:t>
      </w:r>
      <w:r w:rsidRPr="00136BD8">
        <w:rPr>
          <w:rFonts w:ascii="Times New Roman" w:hAnsi="Times New Roman" w:cs="Times New Roman"/>
          <w:sz w:val="24"/>
          <w:szCs w:val="24"/>
        </w:rPr>
        <w:t xml:space="preserve"> </w:t>
      </w:r>
      <w:r w:rsidRPr="00136BD8">
        <w:rPr>
          <w:rFonts w:ascii="Times New Roman" w:eastAsia="Times New Roman" w:hAnsi="Times New Roman" w:cs="Times New Roman"/>
          <w:sz w:val="24"/>
          <w:szCs w:val="24"/>
          <w:lang w:eastAsia="en-MY"/>
        </w:rPr>
        <w:t>bidirectional causality relationship between economic growth and total deposit of Islamic bank</w:t>
      </w:r>
      <w:r>
        <w:rPr>
          <w:rFonts w:ascii="Times New Roman" w:eastAsia="Times New Roman" w:hAnsi="Times New Roman" w:cs="Times New Roman"/>
          <w:sz w:val="24"/>
          <w:szCs w:val="24"/>
          <w:lang w:eastAsia="en-MY"/>
        </w:rPr>
        <w:t xml:space="preserve">s. In addition, bidirectional relationship is also </w:t>
      </w:r>
      <w:proofErr w:type="gramStart"/>
      <w:r>
        <w:rPr>
          <w:rFonts w:ascii="Times New Roman" w:eastAsia="Times New Roman" w:hAnsi="Times New Roman" w:cs="Times New Roman"/>
          <w:sz w:val="24"/>
          <w:szCs w:val="24"/>
          <w:lang w:eastAsia="en-MY"/>
        </w:rPr>
        <w:t>exists</w:t>
      </w:r>
      <w:proofErr w:type="gramEnd"/>
      <w:r>
        <w:rPr>
          <w:rFonts w:ascii="Times New Roman" w:eastAsia="Times New Roman" w:hAnsi="Times New Roman" w:cs="Times New Roman"/>
          <w:sz w:val="24"/>
          <w:szCs w:val="24"/>
          <w:lang w:eastAsia="en-MY"/>
        </w:rPr>
        <w:t xml:space="preserve"> between non-performing loan and total deposit of Islamic banks. </w:t>
      </w:r>
      <w:r w:rsidRPr="00136BD8">
        <w:rPr>
          <w:rFonts w:ascii="Times New Roman" w:eastAsia="Times New Roman" w:hAnsi="Times New Roman" w:cs="Times New Roman"/>
          <w:sz w:val="24"/>
          <w:szCs w:val="24"/>
          <w:lang w:eastAsia="en-MY"/>
        </w:rPr>
        <w:t xml:space="preserve">However, majority of the variables are found to be having unidirectional causality relationship among the variables. Overall, our </w:t>
      </w:r>
      <w:r w:rsidRPr="00C32E98">
        <w:rPr>
          <w:rFonts w:ascii="Times New Roman" w:eastAsia="Times New Roman" w:hAnsi="Times New Roman" w:cs="Times New Roman"/>
          <w:sz w:val="24"/>
          <w:szCs w:val="24"/>
          <w:lang w:val="en-GB" w:eastAsia="en-MY"/>
        </w:rPr>
        <w:t>conclusion</w:t>
      </w:r>
      <w:r w:rsidRPr="00136BD8">
        <w:rPr>
          <w:rFonts w:ascii="Times New Roman" w:eastAsia="Times New Roman" w:hAnsi="Times New Roman" w:cs="Times New Roman"/>
          <w:sz w:val="24"/>
          <w:szCs w:val="24"/>
          <w:lang w:eastAsia="en-MY"/>
        </w:rPr>
        <w:t xml:space="preserve"> state that </w:t>
      </w:r>
      <w:r>
        <w:rPr>
          <w:rFonts w:ascii="Times New Roman" w:eastAsia="Times New Roman" w:hAnsi="Times New Roman" w:cs="Times New Roman"/>
          <w:sz w:val="24"/>
          <w:szCs w:val="24"/>
          <w:lang w:eastAsia="en-MY"/>
        </w:rPr>
        <w:t>Islamic banking and finance still act as one of the</w:t>
      </w:r>
      <w:r w:rsidRPr="00136BD8">
        <w:rPr>
          <w:rFonts w:ascii="Times New Roman" w:eastAsia="Times New Roman" w:hAnsi="Times New Roman" w:cs="Times New Roman"/>
          <w:sz w:val="24"/>
          <w:szCs w:val="24"/>
          <w:lang w:eastAsia="en-MY"/>
        </w:rPr>
        <w:t xml:space="preserve"> dominant </w:t>
      </w:r>
      <w:r>
        <w:rPr>
          <w:rFonts w:ascii="Times New Roman" w:eastAsia="Times New Roman" w:hAnsi="Times New Roman" w:cs="Times New Roman"/>
          <w:sz w:val="24"/>
          <w:szCs w:val="24"/>
          <w:lang w:eastAsia="en-MY"/>
        </w:rPr>
        <w:t>key contributor to</w:t>
      </w:r>
      <w:r w:rsidRPr="00136BD8">
        <w:rPr>
          <w:rFonts w:ascii="Times New Roman" w:eastAsia="Times New Roman" w:hAnsi="Times New Roman" w:cs="Times New Roman"/>
          <w:sz w:val="24"/>
          <w:szCs w:val="24"/>
          <w:lang w:eastAsia="en-MY"/>
        </w:rPr>
        <w:t xml:space="preserve"> Malaysia</w:t>
      </w:r>
      <w:r>
        <w:rPr>
          <w:rFonts w:ascii="Times New Roman" w:eastAsia="Times New Roman" w:hAnsi="Times New Roman" w:cs="Times New Roman"/>
          <w:sz w:val="24"/>
          <w:szCs w:val="24"/>
          <w:lang w:eastAsia="en-MY"/>
        </w:rPr>
        <w:t>n</w:t>
      </w:r>
      <w:r w:rsidRPr="00136BD8">
        <w:rPr>
          <w:rFonts w:ascii="Times New Roman" w:eastAsia="Times New Roman" w:hAnsi="Times New Roman" w:cs="Times New Roman"/>
          <w:sz w:val="24"/>
          <w:szCs w:val="24"/>
          <w:lang w:eastAsia="en-MY"/>
        </w:rPr>
        <w:t xml:space="preserve"> economic development </w:t>
      </w:r>
      <w:r>
        <w:rPr>
          <w:rFonts w:ascii="Times New Roman" w:eastAsia="Times New Roman" w:hAnsi="Times New Roman" w:cs="Times New Roman"/>
          <w:sz w:val="24"/>
          <w:szCs w:val="24"/>
          <w:lang w:eastAsia="en-MY"/>
        </w:rPr>
        <w:t>and growth. The results obtained in this paper are much more robust to alternative econometric specifications.</w:t>
      </w:r>
    </w:p>
    <w:p w:rsidR="007500BC" w:rsidRDefault="007500BC" w:rsidP="007500BC">
      <w:pPr>
        <w:pStyle w:val="NoSpacing"/>
        <w:jc w:val="both"/>
        <w:rPr>
          <w:rFonts w:ascii="Times New Roman" w:eastAsia="Times New Roman" w:hAnsi="Times New Roman" w:cs="Times New Roman"/>
          <w:sz w:val="24"/>
          <w:szCs w:val="24"/>
          <w:lang w:eastAsia="en-MY"/>
        </w:rPr>
      </w:pPr>
    </w:p>
    <w:p w:rsidR="007500BC" w:rsidRDefault="007500BC" w:rsidP="007500BC">
      <w:pPr>
        <w:pStyle w:val="NoSpacing"/>
        <w:jc w:val="both"/>
        <w:rPr>
          <w:rFonts w:ascii="Times New Roman" w:eastAsia="Times New Roman" w:hAnsi="Times New Roman" w:cs="Times New Roman"/>
          <w:sz w:val="24"/>
          <w:szCs w:val="24"/>
          <w:lang w:eastAsia="en-MY"/>
        </w:rPr>
      </w:pPr>
      <w:r w:rsidRPr="00180AE6">
        <w:rPr>
          <w:rFonts w:ascii="Times New Roman" w:eastAsia="Times New Roman" w:hAnsi="Times New Roman" w:cs="Times New Roman"/>
          <w:b/>
          <w:sz w:val="24"/>
          <w:szCs w:val="24"/>
          <w:lang w:eastAsia="en-MY"/>
        </w:rPr>
        <w:t>Keywords</w:t>
      </w:r>
      <w:r w:rsidRPr="00180AE6">
        <w:rPr>
          <w:rFonts w:ascii="Times New Roman" w:eastAsia="Times New Roman" w:hAnsi="Times New Roman" w:cs="Times New Roman"/>
          <w:sz w:val="24"/>
          <w:szCs w:val="24"/>
          <w:lang w:eastAsia="en-MY"/>
        </w:rPr>
        <w:t>:</w:t>
      </w:r>
      <w:r>
        <w:rPr>
          <w:rFonts w:ascii="Times New Roman" w:eastAsia="Times New Roman" w:hAnsi="Times New Roman" w:cs="Times New Roman"/>
          <w:sz w:val="24"/>
          <w:szCs w:val="24"/>
          <w:lang w:eastAsia="en-MY"/>
        </w:rPr>
        <w:t xml:space="preserve"> Islamic Banking, Economic G</w:t>
      </w:r>
      <w:r w:rsidR="00180AE6">
        <w:rPr>
          <w:rFonts w:ascii="Times New Roman" w:eastAsia="Times New Roman" w:hAnsi="Times New Roman" w:cs="Times New Roman"/>
          <w:sz w:val="24"/>
          <w:szCs w:val="24"/>
          <w:lang w:eastAsia="en-MY"/>
        </w:rPr>
        <w:t>rowth, Long – run, Short – run, Malaysia</w:t>
      </w:r>
    </w:p>
    <w:p w:rsidR="00180AE6" w:rsidRDefault="00180AE6" w:rsidP="007500BC">
      <w:pPr>
        <w:pStyle w:val="NoSpacing"/>
        <w:jc w:val="both"/>
        <w:rPr>
          <w:rFonts w:ascii="Times New Roman" w:eastAsia="Times New Roman" w:hAnsi="Times New Roman" w:cs="Times New Roman"/>
          <w:sz w:val="24"/>
          <w:szCs w:val="24"/>
          <w:lang w:eastAsia="en-MY"/>
        </w:rPr>
      </w:pPr>
      <w:r w:rsidRPr="00180AE6">
        <w:rPr>
          <w:rFonts w:ascii="Times New Roman" w:eastAsia="Times New Roman" w:hAnsi="Times New Roman" w:cs="Times New Roman"/>
          <w:b/>
          <w:sz w:val="24"/>
          <w:szCs w:val="24"/>
          <w:lang w:eastAsia="en-MY"/>
        </w:rPr>
        <w:t>JEL Classifications</w:t>
      </w:r>
      <w:r>
        <w:rPr>
          <w:rFonts w:ascii="Times New Roman" w:eastAsia="Times New Roman" w:hAnsi="Times New Roman" w:cs="Times New Roman"/>
          <w:sz w:val="24"/>
          <w:szCs w:val="24"/>
          <w:lang w:eastAsia="en-MY"/>
        </w:rPr>
        <w:t>: C1, C5, 01, Z10</w:t>
      </w:r>
    </w:p>
    <w:p w:rsidR="00180AE6" w:rsidRPr="00136BD8" w:rsidRDefault="00180AE6" w:rsidP="007500BC">
      <w:pPr>
        <w:pStyle w:val="NoSpacing"/>
        <w:jc w:val="both"/>
        <w:rPr>
          <w:rFonts w:ascii="Times New Roman" w:hAnsi="Times New Roman" w:cs="Times New Roman"/>
          <w:sz w:val="24"/>
          <w:szCs w:val="24"/>
        </w:rPr>
      </w:pPr>
    </w:p>
    <w:p w:rsidR="00E0694D" w:rsidRPr="00136BD8" w:rsidRDefault="00E0694D" w:rsidP="00E0694D">
      <w:pPr>
        <w:pStyle w:val="NoSpacing"/>
        <w:jc w:val="both"/>
        <w:rPr>
          <w:rFonts w:ascii="Times New Roman" w:hAnsi="Times New Roman" w:cs="Times New Roman"/>
          <w:sz w:val="24"/>
          <w:szCs w:val="24"/>
        </w:rPr>
      </w:pPr>
    </w:p>
    <w:p w:rsidR="00450DF8" w:rsidRDefault="00450DF8" w:rsidP="008A006D">
      <w:pPr>
        <w:autoSpaceDE w:val="0"/>
        <w:autoSpaceDN w:val="0"/>
        <w:adjustRightInd w:val="0"/>
        <w:spacing w:after="0" w:line="240" w:lineRule="auto"/>
        <w:rPr>
          <w:rFonts w:ascii="Times New Roman" w:hAnsi="Times New Roman" w:cs="Times New Roman"/>
          <w:sz w:val="24"/>
          <w:szCs w:val="24"/>
        </w:rPr>
      </w:pPr>
    </w:p>
    <w:p w:rsidR="008A006D" w:rsidRDefault="008A006D" w:rsidP="008A006D">
      <w:pPr>
        <w:autoSpaceDE w:val="0"/>
        <w:autoSpaceDN w:val="0"/>
        <w:adjustRightInd w:val="0"/>
        <w:spacing w:after="0" w:line="240" w:lineRule="auto"/>
        <w:rPr>
          <w:rFonts w:ascii="Times New Roman" w:hAnsi="Times New Roman" w:cs="Times New Roman"/>
          <w:sz w:val="24"/>
          <w:szCs w:val="24"/>
        </w:rPr>
      </w:pPr>
    </w:p>
    <w:p w:rsidR="008A006D" w:rsidRDefault="008A006D" w:rsidP="008A006D">
      <w:pPr>
        <w:autoSpaceDE w:val="0"/>
        <w:autoSpaceDN w:val="0"/>
        <w:adjustRightInd w:val="0"/>
        <w:spacing w:after="0" w:line="240" w:lineRule="auto"/>
        <w:rPr>
          <w:rFonts w:ascii="Times New Roman" w:hAnsi="Times New Roman" w:cs="Times New Roman"/>
          <w:sz w:val="24"/>
          <w:szCs w:val="24"/>
        </w:rPr>
      </w:pPr>
    </w:p>
    <w:p w:rsidR="000D1D1D" w:rsidRDefault="000D1D1D" w:rsidP="008A006D">
      <w:pPr>
        <w:autoSpaceDE w:val="0"/>
        <w:autoSpaceDN w:val="0"/>
        <w:adjustRightInd w:val="0"/>
        <w:spacing w:after="0" w:line="240" w:lineRule="auto"/>
        <w:rPr>
          <w:rFonts w:ascii="Times New Roman" w:hAnsi="Times New Roman" w:cs="Times New Roman"/>
          <w:sz w:val="24"/>
          <w:szCs w:val="24"/>
        </w:rPr>
      </w:pPr>
    </w:p>
    <w:p w:rsidR="000D1D1D" w:rsidRDefault="000D1D1D" w:rsidP="008A006D">
      <w:pPr>
        <w:autoSpaceDE w:val="0"/>
        <w:autoSpaceDN w:val="0"/>
        <w:adjustRightInd w:val="0"/>
        <w:spacing w:after="0" w:line="240" w:lineRule="auto"/>
        <w:rPr>
          <w:rFonts w:ascii="Times New Roman" w:hAnsi="Times New Roman" w:cs="Times New Roman"/>
          <w:sz w:val="24"/>
          <w:szCs w:val="24"/>
        </w:rPr>
      </w:pPr>
    </w:p>
    <w:p w:rsidR="000D1D1D" w:rsidRDefault="000D1D1D" w:rsidP="008A006D">
      <w:pPr>
        <w:autoSpaceDE w:val="0"/>
        <w:autoSpaceDN w:val="0"/>
        <w:adjustRightInd w:val="0"/>
        <w:spacing w:after="0" w:line="240" w:lineRule="auto"/>
        <w:rPr>
          <w:rFonts w:ascii="Times New Roman" w:hAnsi="Times New Roman" w:cs="Times New Roman"/>
          <w:sz w:val="24"/>
          <w:szCs w:val="24"/>
        </w:rPr>
      </w:pPr>
    </w:p>
    <w:p w:rsidR="000D1D1D" w:rsidRDefault="000D1D1D" w:rsidP="008A006D">
      <w:pPr>
        <w:autoSpaceDE w:val="0"/>
        <w:autoSpaceDN w:val="0"/>
        <w:adjustRightInd w:val="0"/>
        <w:spacing w:after="0" w:line="240" w:lineRule="auto"/>
        <w:rPr>
          <w:rFonts w:ascii="Times New Roman" w:hAnsi="Times New Roman" w:cs="Times New Roman"/>
          <w:sz w:val="24"/>
          <w:szCs w:val="24"/>
        </w:rPr>
      </w:pPr>
    </w:p>
    <w:p w:rsidR="000D1D1D" w:rsidRDefault="000D1D1D" w:rsidP="008A006D">
      <w:pPr>
        <w:autoSpaceDE w:val="0"/>
        <w:autoSpaceDN w:val="0"/>
        <w:adjustRightInd w:val="0"/>
        <w:spacing w:after="0" w:line="240" w:lineRule="auto"/>
        <w:rPr>
          <w:rFonts w:ascii="Arial" w:eastAsia="Times New Roman" w:hAnsi="Arial" w:cs="Arial"/>
          <w:color w:val="000000"/>
          <w:sz w:val="16"/>
          <w:szCs w:val="16"/>
          <w:lang w:eastAsia="en-MY"/>
        </w:rPr>
      </w:pPr>
    </w:p>
    <w:p w:rsidR="008A006D" w:rsidRPr="008A006D" w:rsidRDefault="008A006D" w:rsidP="008A006D">
      <w:pPr>
        <w:autoSpaceDE w:val="0"/>
        <w:autoSpaceDN w:val="0"/>
        <w:adjustRightInd w:val="0"/>
        <w:spacing w:after="0" w:line="240" w:lineRule="auto"/>
        <w:rPr>
          <w:rFonts w:ascii="Arial" w:eastAsia="Times New Roman" w:hAnsi="Arial" w:cs="Arial"/>
          <w:color w:val="000000"/>
          <w:sz w:val="16"/>
          <w:szCs w:val="16"/>
          <w:lang w:eastAsia="en-MY"/>
        </w:rPr>
      </w:pPr>
      <w:r>
        <w:rPr>
          <w:rFonts w:ascii="Arial" w:eastAsia="Times New Roman" w:hAnsi="Arial" w:cs="Arial"/>
          <w:color w:val="000000"/>
          <w:sz w:val="16"/>
          <w:szCs w:val="16"/>
          <w:lang w:eastAsia="en-MY"/>
        </w:rPr>
        <w:br/>
      </w:r>
    </w:p>
    <w:p w:rsidR="008A006D" w:rsidRPr="000D1D1D" w:rsidRDefault="008A006D" w:rsidP="008A006D">
      <w:pPr>
        <w:pStyle w:val="NoSpacing"/>
        <w:rPr>
          <w:rFonts w:ascii="Times New Roman" w:hAnsi="Times New Roman" w:cs="Times New Roman"/>
          <w:b/>
          <w:sz w:val="24"/>
          <w:szCs w:val="24"/>
        </w:rPr>
      </w:pPr>
      <w:r w:rsidRPr="000D1D1D">
        <w:rPr>
          <w:rFonts w:ascii="Times New Roman" w:hAnsi="Times New Roman" w:cs="Times New Roman"/>
          <w:b/>
          <w:sz w:val="24"/>
          <w:szCs w:val="24"/>
        </w:rPr>
        <w:lastRenderedPageBreak/>
        <w:t>INTRODUCTION</w:t>
      </w:r>
    </w:p>
    <w:p w:rsidR="008A006D" w:rsidRPr="000D1D1D" w:rsidRDefault="008A006D" w:rsidP="008A006D">
      <w:pPr>
        <w:pStyle w:val="NoSpacing"/>
        <w:rPr>
          <w:rFonts w:ascii="Times New Roman" w:hAnsi="Times New Roman" w:cs="Times New Roman"/>
          <w:b/>
          <w:sz w:val="24"/>
          <w:szCs w:val="24"/>
          <w:lang w:val="en-US" w:eastAsia="ja-JP"/>
        </w:rPr>
      </w:pPr>
    </w:p>
    <w:p w:rsidR="008A006D" w:rsidRPr="000D1D1D" w:rsidRDefault="008A006D" w:rsidP="008A006D">
      <w:pPr>
        <w:jc w:val="both"/>
        <w:rPr>
          <w:rFonts w:ascii="Times New Roman" w:hAnsi="Times New Roman" w:cs="Times New Roman"/>
          <w:sz w:val="24"/>
          <w:szCs w:val="24"/>
        </w:rPr>
      </w:pPr>
      <w:r w:rsidRPr="000D1D1D">
        <w:rPr>
          <w:rFonts w:ascii="Times New Roman" w:hAnsi="Times New Roman" w:cs="Times New Roman"/>
          <w:sz w:val="24"/>
          <w:szCs w:val="24"/>
        </w:rPr>
        <w:t>The steady growth of Islamic banks has been a trademark of the Muslim world financial landscape in the present age. According to governor of Bank Negara Malaysia, Dr Zeti Akhtar, Malaysia has proven that Islamic finance does not only contribute to financial stability, rather at the same time it promotes the number of economic sectors to participate in the financial system. This can be observes when Islamic finance is extremely favourable to small and medium-sized businesses (SMEs). By the incorporation of SMEs and other micro-credit agencies, this has led to an increase in the diversification of the financial system, which later improves its flexibility and stability. Moreover, possibilities to expand the international relations is realizes.</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Although with the slowed global economy and the siege of conventional banking in western countries, Islamic finance continues to flourish with robust growth. </w:t>
      </w:r>
      <w:r w:rsidRPr="000D1D1D">
        <w:rPr>
          <w:rFonts w:ascii="Times New Roman" w:hAnsi="Times New Roman" w:cs="Times New Roman"/>
          <w:noProof/>
          <w:sz w:val="24"/>
          <w:szCs w:val="24"/>
        </w:rPr>
        <w:t>Gheeraert (2014)</w:t>
      </w:r>
      <w:r w:rsidRPr="000D1D1D">
        <w:rPr>
          <w:rFonts w:ascii="Times New Roman" w:hAnsi="Times New Roman" w:cs="Times New Roman"/>
          <w:sz w:val="24"/>
          <w:szCs w:val="24"/>
        </w:rPr>
        <w:t xml:space="preserve"> study reveals that Islamic asset size and growth from 2000 to 2005 annual average by countries as below (Graph1); </w:t>
      </w:r>
    </w:p>
    <w:p w:rsidR="008A006D" w:rsidRPr="008A006D" w:rsidRDefault="008A006D" w:rsidP="008A006D">
      <w:pPr>
        <w:spacing w:after="0" w:line="240" w:lineRule="auto"/>
        <w:jc w:val="center"/>
        <w:rPr>
          <w:rFonts w:ascii="Times New Roman" w:hAnsi="Times New Roman" w:cs="Times New Roman"/>
          <w:b/>
          <w:lang w:val="en-US" w:eastAsia="ja-JP"/>
        </w:rPr>
      </w:pPr>
      <w:r w:rsidRPr="008A006D">
        <w:rPr>
          <w:rFonts w:ascii="Times New Roman" w:hAnsi="Times New Roman" w:cs="Times New Roman"/>
          <w:b/>
          <w:lang w:val="en-US" w:eastAsia="ja-JP"/>
        </w:rPr>
        <w:t>Graph 1: Islamic Finance Summary Statistics</w:t>
      </w:r>
    </w:p>
    <w:p w:rsidR="008A006D" w:rsidRDefault="008A006D" w:rsidP="008A006D">
      <w:pPr>
        <w:pStyle w:val="NoSpacing"/>
        <w:jc w:val="center"/>
        <w:rPr>
          <w:lang w:val="en-US" w:eastAsia="ja-JP"/>
        </w:rPr>
      </w:pPr>
      <w:r w:rsidRPr="008A006D">
        <w:rPr>
          <w:noProof/>
          <w:lang w:val="en-US"/>
        </w:rPr>
        <w:drawing>
          <wp:inline distT="0" distB="0" distL="0" distR="0">
            <wp:extent cx="4267200" cy="2133600"/>
            <wp:effectExtent l="38100" t="57150" r="114300" b="952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9160" t="14397" r="34543" b="8737"/>
                    <a:stretch/>
                  </pic:blipFill>
                  <pic:spPr bwMode="auto">
                    <a:xfrm>
                      <a:off x="0" y="0"/>
                      <a:ext cx="4283394" cy="2141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8A006D" w:rsidRPr="008A006D" w:rsidRDefault="00180AE6" w:rsidP="008A006D">
      <w:pPr>
        <w:pStyle w:val="NoSpacing"/>
        <w:jc w:val="center"/>
        <w:rPr>
          <w:rFonts w:ascii="Times New Roman" w:hAnsi="Times New Roman" w:cs="Times New Roman"/>
          <w:lang w:val="en-US" w:eastAsia="ja-JP"/>
        </w:rPr>
      </w:pPr>
      <w:r>
        <w:rPr>
          <w:rFonts w:ascii="Times New Roman" w:hAnsi="Times New Roman" w:cs="Times New Roman"/>
          <w:lang w:val="en-US" w:eastAsia="ja-JP"/>
        </w:rPr>
        <w:t xml:space="preserve">                    </w:t>
      </w:r>
      <w:r w:rsidR="008A006D" w:rsidRPr="008A006D">
        <w:rPr>
          <w:rFonts w:ascii="Times New Roman" w:hAnsi="Times New Roman" w:cs="Times New Roman"/>
          <w:lang w:val="en-US" w:eastAsia="ja-JP"/>
        </w:rPr>
        <w:t>Source: World Development Indicators (World Bank, 2009)</w:t>
      </w:r>
    </w:p>
    <w:p w:rsidR="008A006D" w:rsidRPr="008A006D" w:rsidRDefault="008A006D" w:rsidP="008A006D">
      <w:pPr>
        <w:spacing w:after="0" w:line="240" w:lineRule="auto"/>
        <w:jc w:val="both"/>
        <w:rPr>
          <w:rFonts w:ascii="Times New Roman" w:hAnsi="Times New Roman" w:cs="Times New Roman"/>
          <w:lang w:val="en-US" w:eastAsia="ja-JP"/>
        </w:rPr>
      </w:pPr>
    </w:p>
    <w:p w:rsidR="005E16BF" w:rsidRPr="000D1D1D" w:rsidRDefault="008A006D" w:rsidP="00180AE6">
      <w:pPr>
        <w:spacing w:after="0"/>
        <w:ind w:firstLine="720"/>
        <w:jc w:val="both"/>
        <w:rPr>
          <w:rFonts w:ascii="Times New Roman" w:hAnsi="Times New Roman" w:cs="Times New Roman"/>
          <w:b/>
          <w:sz w:val="24"/>
          <w:szCs w:val="24"/>
        </w:rPr>
      </w:pPr>
      <w:r w:rsidRPr="000D1D1D">
        <w:rPr>
          <w:rFonts w:ascii="Times New Roman" w:hAnsi="Times New Roman" w:cs="Times New Roman"/>
          <w:sz w:val="24"/>
          <w:szCs w:val="24"/>
          <w:lang w:val="en-US" w:eastAsia="ja-JP"/>
        </w:rPr>
        <w:t xml:space="preserve">From the graph above, it </w:t>
      </w:r>
      <w:proofErr w:type="gramStart"/>
      <w:r w:rsidRPr="000D1D1D">
        <w:rPr>
          <w:rFonts w:ascii="Times New Roman" w:hAnsi="Times New Roman" w:cs="Times New Roman"/>
          <w:sz w:val="24"/>
          <w:szCs w:val="24"/>
          <w:lang w:val="en-US" w:eastAsia="ja-JP"/>
        </w:rPr>
        <w:t>indicate</w:t>
      </w:r>
      <w:proofErr w:type="gramEnd"/>
      <w:r w:rsidRPr="000D1D1D">
        <w:rPr>
          <w:rFonts w:ascii="Times New Roman" w:hAnsi="Times New Roman" w:cs="Times New Roman"/>
          <w:sz w:val="24"/>
          <w:szCs w:val="24"/>
          <w:lang w:val="en-US" w:eastAsia="ja-JP"/>
        </w:rPr>
        <w:t xml:space="preserve"> that the average growth for the Islamic asset lies around 19 to 26 percent for the listed countries above except for Thailand (which experience almost 119 percent growth due to extraordinary demand for Islamic finance) for the period of 5 years. In compare to the above, </w:t>
      </w:r>
      <w:r w:rsidRPr="000D1D1D">
        <w:rPr>
          <w:rFonts w:ascii="Times New Roman" w:hAnsi="Times New Roman" w:cs="Times New Roman"/>
          <w:sz w:val="24"/>
          <w:szCs w:val="24"/>
        </w:rPr>
        <w:t>Table 1 below shows the Islamic finance Shariah-compliant assets, share of banks and number of firms according to countries in 2010. While likening both data, it simply designates steady growth of the Islamic finance industry since 2005 and 2010 compare to current market position.</w:t>
      </w:r>
    </w:p>
    <w:p w:rsidR="005E16BF" w:rsidRPr="000D1D1D" w:rsidRDefault="005E16BF" w:rsidP="005E16BF">
      <w:pPr>
        <w:spacing w:after="0" w:line="240" w:lineRule="auto"/>
        <w:jc w:val="both"/>
        <w:rPr>
          <w:rFonts w:ascii="Times New Roman" w:hAnsi="Times New Roman" w:cs="Times New Roman"/>
          <w:b/>
          <w:sz w:val="24"/>
          <w:szCs w:val="24"/>
        </w:rPr>
      </w:pPr>
    </w:p>
    <w:p w:rsidR="008A006D" w:rsidRPr="005E16BF" w:rsidRDefault="008A006D" w:rsidP="005E16BF">
      <w:pPr>
        <w:jc w:val="center"/>
        <w:rPr>
          <w:rFonts w:ascii="Times New Roman" w:hAnsi="Times New Roman" w:cs="Times New Roman"/>
          <w:b/>
        </w:rPr>
      </w:pPr>
      <w:r w:rsidRPr="008A006D">
        <w:rPr>
          <w:noProof/>
          <w:lang w:val="en-US"/>
        </w:rPr>
        <w:lastRenderedPageBreak/>
        <w:drawing>
          <wp:inline distT="0" distB="0" distL="0" distR="0">
            <wp:extent cx="4972045" cy="1381125"/>
            <wp:effectExtent l="38100" t="57150" r="114305" b="1047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7853" t="41195" r="12481" b="13081"/>
                    <a:stretch/>
                  </pic:blipFill>
                  <pic:spPr bwMode="auto">
                    <a:xfrm>
                      <a:off x="0" y="0"/>
                      <a:ext cx="5017586" cy="139377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5E16BF">
        <w:rPr>
          <w:rFonts w:ascii="Times New Roman" w:hAnsi="Times New Roman" w:cs="Times New Roman"/>
          <w:b/>
        </w:rPr>
        <w:t xml:space="preserve">                                                  </w:t>
      </w:r>
      <w:r w:rsidR="005E16BF">
        <w:rPr>
          <w:rFonts w:ascii="Times New Roman" w:hAnsi="Times New Roman" w:cs="Times New Roman"/>
          <w:b/>
        </w:rPr>
        <w:tab/>
      </w:r>
      <w:r w:rsidR="005E16BF">
        <w:rPr>
          <w:rFonts w:ascii="Times New Roman" w:hAnsi="Times New Roman" w:cs="Times New Roman"/>
          <w:b/>
        </w:rPr>
        <w:tab/>
      </w:r>
      <w:r w:rsidR="005E16BF">
        <w:rPr>
          <w:rFonts w:ascii="Times New Roman" w:hAnsi="Times New Roman" w:cs="Times New Roman"/>
          <w:b/>
        </w:rPr>
        <w:tab/>
      </w:r>
      <w:r w:rsidR="005E16BF">
        <w:rPr>
          <w:rFonts w:ascii="Times New Roman" w:hAnsi="Times New Roman" w:cs="Times New Roman"/>
          <w:b/>
        </w:rPr>
        <w:tab/>
      </w:r>
      <w:r w:rsidR="005E16BF">
        <w:rPr>
          <w:rFonts w:ascii="Times New Roman" w:hAnsi="Times New Roman" w:cs="Times New Roman"/>
          <w:b/>
        </w:rPr>
        <w:tab/>
      </w:r>
      <w:r w:rsidR="005E16BF">
        <w:rPr>
          <w:rFonts w:ascii="Times New Roman" w:hAnsi="Times New Roman" w:cs="Times New Roman"/>
          <w:b/>
        </w:rPr>
        <w:tab/>
      </w:r>
      <w:r w:rsidR="00180AE6">
        <w:rPr>
          <w:rFonts w:ascii="Times New Roman" w:hAnsi="Times New Roman" w:cs="Times New Roman"/>
          <w:b/>
        </w:rPr>
        <w:t xml:space="preserve">               </w:t>
      </w:r>
      <w:r w:rsidRPr="008A006D">
        <w:rPr>
          <w:rFonts w:ascii="Times New Roman" w:hAnsi="Times New Roman" w:cs="Times New Roman"/>
          <w:lang w:val="en-US" w:eastAsia="ja-JP"/>
        </w:rPr>
        <w:t>Source: The Banker (2010)</w:t>
      </w:r>
    </w:p>
    <w:p w:rsidR="008A006D" w:rsidRPr="008A006D" w:rsidRDefault="008A006D" w:rsidP="008A006D">
      <w:pPr>
        <w:spacing w:after="0" w:line="240" w:lineRule="auto"/>
        <w:jc w:val="both"/>
        <w:rPr>
          <w:rFonts w:ascii="Times New Roman" w:hAnsi="Times New Roman" w:cs="Times New Roman"/>
          <w:lang w:val="en-US" w:eastAsia="ja-JP"/>
        </w:rPr>
      </w:pPr>
    </w:p>
    <w:p w:rsidR="008A006D" w:rsidRPr="000D1D1D" w:rsidRDefault="008A006D" w:rsidP="00180AE6">
      <w:pPr>
        <w:ind w:firstLine="720"/>
        <w:jc w:val="both"/>
        <w:rPr>
          <w:rFonts w:ascii="Times New Roman" w:hAnsi="Times New Roman" w:cs="Times New Roman"/>
          <w:b/>
          <w:sz w:val="24"/>
          <w:szCs w:val="24"/>
        </w:rPr>
      </w:pPr>
      <w:r w:rsidRPr="000D1D1D">
        <w:rPr>
          <w:rFonts w:ascii="Times New Roman" w:hAnsi="Times New Roman" w:cs="Times New Roman"/>
          <w:sz w:val="24"/>
          <w:szCs w:val="24"/>
        </w:rPr>
        <w:t xml:space="preserve">According to </w:t>
      </w:r>
      <w:r w:rsidRPr="000D1D1D">
        <w:rPr>
          <w:rFonts w:ascii="Times New Roman" w:hAnsi="Times New Roman" w:cs="Times New Roman"/>
          <w:noProof/>
          <w:sz w:val="24"/>
          <w:szCs w:val="24"/>
        </w:rPr>
        <w:t>Rajabi &amp; Muhammad (2014)</w:t>
      </w:r>
      <w:r w:rsidRPr="000D1D1D">
        <w:rPr>
          <w:rFonts w:ascii="Times New Roman" w:hAnsi="Times New Roman" w:cs="Times New Roman"/>
          <w:sz w:val="24"/>
          <w:szCs w:val="24"/>
        </w:rPr>
        <w:t>, global market for Islamic financial services has tangibly grown by 15 to 20 percent ($1460 billion) in 2012. Most of the asset comprises of commercial banks’, while the rest are from investment banks’. Having considered this growth rate, it is forecasted by the end of 2014 that the market would elevate to $2 trillion in assets.</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Alliance among financial institutions, growing competition and constant innovation in providing financial services, all contribute to rising attentiveness in a detailed evaluation of Islamic banks. In fact, the performance evaluation is essential for both managerial and regulatory purposes. While managers mainly concern on the outcome of previous management decisions, bank regulators are keen towards the wellbeing and soundness of banking structure to make sure the public confidence are preserves. In addition, bank </w:t>
      </w:r>
      <w:r w:rsidR="00842BCC" w:rsidRPr="000D1D1D">
        <w:rPr>
          <w:rFonts w:ascii="Times New Roman" w:hAnsi="Times New Roman" w:cs="Times New Roman"/>
          <w:sz w:val="24"/>
          <w:szCs w:val="24"/>
        </w:rPr>
        <w:t>performances are</w:t>
      </w:r>
      <w:r w:rsidRPr="000D1D1D">
        <w:rPr>
          <w:rFonts w:ascii="Times New Roman" w:hAnsi="Times New Roman" w:cs="Times New Roman"/>
          <w:sz w:val="24"/>
          <w:szCs w:val="24"/>
        </w:rPr>
        <w:t xml:space="preserve"> also monitored to identify problems, which if it is left unnoticed, could lead to severe financial issues in future. Similarly, depositors and investors keen to track the banks performance in realizing greater investment experience and their turnover. </w:t>
      </w:r>
    </w:p>
    <w:p w:rsidR="008A006D" w:rsidRPr="000D1D1D" w:rsidRDefault="008A006D" w:rsidP="00180AE6">
      <w:pPr>
        <w:ind w:firstLine="720"/>
        <w:jc w:val="both"/>
        <w:rPr>
          <w:rFonts w:ascii="Times New Roman" w:hAnsi="Times New Roman" w:cs="Times New Roman"/>
          <w:color w:val="FF0000"/>
          <w:sz w:val="24"/>
          <w:szCs w:val="24"/>
        </w:rPr>
      </w:pPr>
      <w:r w:rsidRPr="000D1D1D">
        <w:rPr>
          <w:rFonts w:ascii="Times New Roman" w:hAnsi="Times New Roman" w:cs="Times New Roman"/>
          <w:sz w:val="24"/>
          <w:szCs w:val="24"/>
          <w:lang w:val="en-US"/>
        </w:rPr>
        <w:t>Generally, well-developed domestic financial sectors system such as the system own in developed countries can significantly contribute to raise savings and investment rate and henceforth reach the economic growth (</w:t>
      </w:r>
      <w:proofErr w:type="spellStart"/>
      <w:r w:rsidRPr="000D1D1D">
        <w:rPr>
          <w:rFonts w:ascii="Times New Roman" w:hAnsi="Times New Roman" w:cs="Times New Roman"/>
          <w:sz w:val="24"/>
          <w:szCs w:val="24"/>
          <w:lang w:val="en-US"/>
        </w:rPr>
        <w:t>Becsi</w:t>
      </w:r>
      <w:proofErr w:type="spellEnd"/>
      <w:r w:rsidRPr="000D1D1D">
        <w:rPr>
          <w:rFonts w:ascii="Times New Roman" w:hAnsi="Times New Roman" w:cs="Times New Roman"/>
          <w:sz w:val="24"/>
          <w:szCs w:val="24"/>
          <w:lang w:val="en-US"/>
        </w:rPr>
        <w:t xml:space="preserve"> and Wang, 1997).</w:t>
      </w:r>
      <w:r w:rsidRPr="000D1D1D">
        <w:rPr>
          <w:rFonts w:ascii="Times New Roman" w:hAnsi="Times New Roman" w:cs="Times New Roman"/>
          <w:sz w:val="24"/>
          <w:szCs w:val="24"/>
        </w:rPr>
        <w:t xml:space="preserve"> However, in defining specific variables which contributes to economic </w:t>
      </w:r>
      <w:r w:rsidR="000D1D1D" w:rsidRPr="000D1D1D">
        <w:rPr>
          <w:rFonts w:ascii="Times New Roman" w:hAnsi="Times New Roman" w:cs="Times New Roman"/>
          <w:sz w:val="24"/>
          <w:szCs w:val="24"/>
        </w:rPr>
        <w:t>growth, this</w:t>
      </w:r>
      <w:r w:rsidRPr="000D1D1D">
        <w:rPr>
          <w:rFonts w:ascii="Times New Roman" w:hAnsi="Times New Roman" w:cs="Times New Roman"/>
          <w:sz w:val="24"/>
          <w:szCs w:val="24"/>
        </w:rPr>
        <w:t xml:space="preserve"> paper empirically </w:t>
      </w:r>
      <w:r w:rsidR="000D1D1D" w:rsidRPr="000D1D1D">
        <w:rPr>
          <w:rFonts w:ascii="Times New Roman" w:hAnsi="Times New Roman" w:cs="Times New Roman"/>
          <w:sz w:val="24"/>
          <w:szCs w:val="24"/>
        </w:rPr>
        <w:t>assesses</w:t>
      </w:r>
      <w:r w:rsidRPr="000D1D1D">
        <w:rPr>
          <w:rFonts w:ascii="Times New Roman" w:hAnsi="Times New Roman" w:cs="Times New Roman"/>
          <w:sz w:val="24"/>
          <w:szCs w:val="24"/>
        </w:rPr>
        <w:t xml:space="preserve"> the dynamic contribution of Islamic banks towards economic growth in Malaysia based on selected variables namely real gross domestic product (GDP), total deposit, total financing, total assets and non – performing loan and their significant relationship in short and long term time frame. By studying the contribution of Islamic banks towards economic growth, this paper contributes to the ongoing discussion and existing literature on the performance of Islamic banking and their contribution towards successive domestic and foreign economic growth.</w:t>
      </w:r>
    </w:p>
    <w:p w:rsidR="008A006D" w:rsidRPr="000D1D1D" w:rsidRDefault="008A006D" w:rsidP="005E16BF">
      <w:pPr>
        <w:pStyle w:val="NoSpacing"/>
        <w:rPr>
          <w:rFonts w:ascii="Times New Roman" w:hAnsi="Times New Roman" w:cs="Times New Roman"/>
          <w:b/>
          <w:sz w:val="24"/>
          <w:szCs w:val="24"/>
        </w:rPr>
      </w:pPr>
      <w:r w:rsidRPr="000D1D1D">
        <w:rPr>
          <w:rFonts w:ascii="Times New Roman" w:hAnsi="Times New Roman" w:cs="Times New Roman"/>
          <w:b/>
          <w:sz w:val="24"/>
          <w:szCs w:val="24"/>
        </w:rPr>
        <w:t>LITERATURE REVIEW</w:t>
      </w:r>
    </w:p>
    <w:p w:rsidR="005E16BF" w:rsidRPr="000D1D1D" w:rsidRDefault="005E16BF" w:rsidP="005E16BF">
      <w:pPr>
        <w:pStyle w:val="NoSpacing"/>
        <w:rPr>
          <w:rFonts w:ascii="Times New Roman" w:hAnsi="Times New Roman" w:cs="Times New Roman"/>
          <w:sz w:val="24"/>
          <w:szCs w:val="24"/>
          <w:lang w:val="en-US" w:eastAsia="ja-JP"/>
        </w:rPr>
      </w:pPr>
    </w:p>
    <w:p w:rsidR="005E16BF" w:rsidRDefault="008A006D" w:rsidP="005E16BF">
      <w:pPr>
        <w:pStyle w:val="NoSpacing"/>
        <w:spacing w:line="276" w:lineRule="auto"/>
        <w:jc w:val="both"/>
        <w:rPr>
          <w:rFonts w:ascii="Times New Roman" w:hAnsi="Times New Roman" w:cs="Times New Roman"/>
        </w:rPr>
      </w:pPr>
      <w:r w:rsidRPr="000D1D1D">
        <w:rPr>
          <w:rFonts w:ascii="Times New Roman" w:hAnsi="Times New Roman" w:cs="Times New Roman"/>
          <w:sz w:val="24"/>
          <w:szCs w:val="24"/>
        </w:rPr>
        <w:t xml:space="preserve">Economic development is usually seen as a process of creating prosperity for a country through the mobilization of human, physical, capital, financial, and natural resources to generate marketable good and services (American Economic Development Council, 1984). Financial intermediation plays </w:t>
      </w:r>
      <w:r w:rsidR="005E16BF" w:rsidRPr="000D1D1D">
        <w:rPr>
          <w:rFonts w:ascii="Times New Roman" w:hAnsi="Times New Roman" w:cs="Times New Roman"/>
          <w:sz w:val="24"/>
          <w:szCs w:val="24"/>
        </w:rPr>
        <w:t>and important role</w:t>
      </w:r>
      <w:r w:rsidRPr="000D1D1D">
        <w:rPr>
          <w:rFonts w:ascii="Times New Roman" w:hAnsi="Times New Roman" w:cs="Times New Roman"/>
          <w:sz w:val="24"/>
          <w:szCs w:val="24"/>
        </w:rPr>
        <w:t xml:space="preserve"> in an economic activity, failing which such as banking crisis, can be very costly for society. In some cases, banking crisis also may exacted a high cost </w:t>
      </w:r>
      <w:r w:rsidRPr="000D1D1D">
        <w:rPr>
          <w:rFonts w:ascii="Times New Roman" w:hAnsi="Times New Roman" w:cs="Times New Roman"/>
          <w:sz w:val="24"/>
          <w:szCs w:val="24"/>
        </w:rPr>
        <w:lastRenderedPageBreak/>
        <w:t>estimated to be greater than ten percent of gross domestic product (GDP)</w:t>
      </w:r>
      <w:r w:rsidRPr="000D1D1D">
        <w:rPr>
          <w:rStyle w:val="FootnoteReference"/>
          <w:rFonts w:ascii="Times New Roman" w:hAnsi="Times New Roman" w:cs="Times New Roman"/>
          <w:sz w:val="24"/>
          <w:szCs w:val="24"/>
        </w:rPr>
        <w:footnoteReference w:id="1"/>
      </w:r>
      <w:r w:rsidRPr="000D1D1D">
        <w:rPr>
          <w:rFonts w:ascii="Times New Roman" w:hAnsi="Times New Roman" w:cs="Times New Roman"/>
          <w:sz w:val="24"/>
          <w:szCs w:val="24"/>
        </w:rPr>
        <w:t>.</w:t>
      </w:r>
      <w:r w:rsidR="005E16BF" w:rsidRPr="000D1D1D">
        <w:rPr>
          <w:rFonts w:ascii="Times New Roman" w:hAnsi="Times New Roman" w:cs="Times New Roman"/>
          <w:sz w:val="24"/>
          <w:szCs w:val="24"/>
        </w:rPr>
        <w:t xml:space="preserve"> </w:t>
      </w:r>
      <w:r w:rsidRPr="000D1D1D">
        <w:rPr>
          <w:rFonts w:ascii="Times New Roman" w:hAnsi="Times New Roman" w:cs="Times New Roman"/>
          <w:sz w:val="24"/>
          <w:szCs w:val="24"/>
        </w:rPr>
        <w:t>Extant literature proves that Islamic banking and finance institutions manage to escape without being severely hurt by global financial crisis</w:t>
      </w:r>
      <w:r w:rsidRPr="000D1D1D">
        <w:rPr>
          <w:rStyle w:val="FootnoteReference"/>
          <w:rFonts w:ascii="Times New Roman" w:hAnsi="Times New Roman" w:cs="Times New Roman"/>
          <w:sz w:val="24"/>
          <w:szCs w:val="24"/>
        </w:rPr>
        <w:footnoteReference w:id="2"/>
      </w:r>
      <w:r w:rsidRPr="000D1D1D">
        <w:rPr>
          <w:rFonts w:ascii="Times New Roman" w:hAnsi="Times New Roman" w:cs="Times New Roman"/>
          <w:sz w:val="24"/>
          <w:szCs w:val="24"/>
        </w:rPr>
        <w:t xml:space="preserve">. To study among the </w:t>
      </w:r>
      <w:r w:rsidR="000D1D1D" w:rsidRPr="000D1D1D">
        <w:rPr>
          <w:rFonts w:ascii="Times New Roman" w:hAnsi="Times New Roman" w:cs="Times New Roman"/>
          <w:sz w:val="24"/>
          <w:szCs w:val="24"/>
        </w:rPr>
        <w:t>reasons,</w:t>
      </w:r>
      <w:r w:rsidRPr="000D1D1D">
        <w:rPr>
          <w:rFonts w:ascii="Times New Roman" w:hAnsi="Times New Roman" w:cs="Times New Roman"/>
          <w:sz w:val="24"/>
          <w:szCs w:val="24"/>
        </w:rPr>
        <w:t xml:space="preserve"> contribute to this, Monzer Kahf (2005) discover that developmental characteristics of</w:t>
      </w:r>
      <w:r w:rsidRPr="008A006D">
        <w:rPr>
          <w:rFonts w:ascii="Times New Roman" w:hAnsi="Times New Roman" w:cs="Times New Roman"/>
        </w:rPr>
        <w:t xml:space="preserve"> Islamic modes of financing can be categorized in few manners. Among them, Monzer Kahf (2005) discovered that the essential </w:t>
      </w:r>
      <w:r w:rsidR="005E16BF" w:rsidRPr="008A006D">
        <w:rPr>
          <w:rFonts w:ascii="Times New Roman" w:hAnsi="Times New Roman" w:cs="Times New Roman"/>
        </w:rPr>
        <w:t>characteristic</w:t>
      </w:r>
      <w:r w:rsidR="005E16BF">
        <w:rPr>
          <w:rFonts w:ascii="Times New Roman" w:hAnsi="Times New Roman" w:cs="Times New Roman"/>
        </w:rPr>
        <w:t>s are</w:t>
      </w:r>
      <w:r w:rsidRPr="008A006D">
        <w:rPr>
          <w:rFonts w:ascii="Times New Roman" w:hAnsi="Times New Roman" w:cs="Times New Roman"/>
        </w:rPr>
        <w:t xml:space="preserve"> their direct and un-detachable link to the real economy or physical transactions as Islamic banking and finance practices promote the sharing mode and sale-based mode.</w:t>
      </w:r>
    </w:p>
    <w:p w:rsidR="005E16BF" w:rsidRDefault="005E16BF" w:rsidP="005E16BF">
      <w:pPr>
        <w:pStyle w:val="NoSpacing"/>
        <w:spacing w:line="276" w:lineRule="auto"/>
        <w:jc w:val="both"/>
        <w:rPr>
          <w:rFonts w:ascii="Times New Roman" w:hAnsi="Times New Roman" w:cs="Times New Roman"/>
        </w:rPr>
      </w:pPr>
    </w:p>
    <w:p w:rsidR="008A006D" w:rsidRPr="000D1D1D" w:rsidRDefault="008A006D" w:rsidP="00180AE6">
      <w:pPr>
        <w:pStyle w:val="NoSpacing"/>
        <w:spacing w:line="276" w:lineRule="auto"/>
        <w:ind w:firstLine="720"/>
        <w:jc w:val="both"/>
        <w:rPr>
          <w:rFonts w:ascii="Times New Roman" w:hAnsi="Times New Roman" w:cs="Times New Roman"/>
          <w:sz w:val="24"/>
          <w:szCs w:val="24"/>
        </w:rPr>
      </w:pPr>
      <w:r w:rsidRPr="000D1D1D">
        <w:rPr>
          <w:rFonts w:ascii="Times New Roman" w:hAnsi="Times New Roman" w:cs="Times New Roman"/>
          <w:sz w:val="24"/>
          <w:szCs w:val="24"/>
        </w:rPr>
        <w:t>Kaleem (2000) in his study discover on general similar findings by other researchers</w:t>
      </w:r>
      <w:r w:rsidRPr="000D1D1D">
        <w:rPr>
          <w:rStyle w:val="FootnoteReference"/>
          <w:rFonts w:ascii="Times New Roman" w:hAnsi="Times New Roman" w:cs="Times New Roman"/>
          <w:sz w:val="24"/>
          <w:szCs w:val="24"/>
        </w:rPr>
        <w:footnoteReference w:id="3"/>
      </w:r>
      <w:r w:rsidRPr="000D1D1D">
        <w:rPr>
          <w:rFonts w:ascii="Times New Roman" w:hAnsi="Times New Roman" w:cs="Times New Roman"/>
          <w:sz w:val="24"/>
          <w:szCs w:val="24"/>
        </w:rPr>
        <w:t xml:space="preserve"> that Islamic banking system is more stable compared to conventional banking system. This is mainly because of the fact that Islamic banks operates in a free-interest environment </w:t>
      </w:r>
      <w:sdt>
        <w:sdtPr>
          <w:rPr>
            <w:rFonts w:ascii="Times New Roman" w:hAnsi="Times New Roman" w:cs="Times New Roman"/>
            <w:sz w:val="24"/>
            <w:szCs w:val="24"/>
          </w:rPr>
          <w:id w:val="1430387562"/>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Obi04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(Bacha, 2004)</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and operates on a non-debt based framework, rather asset-based structure with a risk-sharing mechanism are practiced</w:t>
      </w:r>
      <w:sdt>
        <w:sdtPr>
          <w:rPr>
            <w:rFonts w:ascii="Times New Roman" w:hAnsi="Times New Roman" w:cs="Times New Roman"/>
            <w:sz w:val="24"/>
            <w:szCs w:val="24"/>
          </w:rPr>
          <w:id w:val="239520940"/>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Max00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 xml:space="preserve"> (Maximilian J.B. Hall &amp; Muljawan, 2000)</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Expert found that conventional banking had been notorious due to its operation in highly leveraged, greed and poor enforcement of inadequate regulatory exercises.</w:t>
      </w:r>
      <w:r w:rsidR="00180AE6" w:rsidRPr="000D1D1D">
        <w:rPr>
          <w:rFonts w:ascii="Times New Roman" w:hAnsi="Times New Roman" w:cs="Times New Roman"/>
          <w:sz w:val="24"/>
          <w:szCs w:val="24"/>
        </w:rPr>
        <w:t xml:space="preserve"> </w:t>
      </w:r>
      <w:r w:rsidRPr="000D1D1D">
        <w:rPr>
          <w:rFonts w:ascii="Times New Roman" w:hAnsi="Times New Roman" w:cs="Times New Roman"/>
          <w:sz w:val="24"/>
          <w:szCs w:val="24"/>
        </w:rPr>
        <w:t>The practices and undertakings of Islamic banks reflect the atmosphere in which they are based. Strong retail operations are mainly practices in Iran and Saudi Arabia. On the other hand, for secular societies such in northern Africa, Islamic banks compete on the basis of the quality of the products rather than competing more on religious base. In Kuwait, financing focused more on the petroleum sector and real estate investment while in United Arab Emirates, the emphasis given is more on trade and finance (</w:t>
      </w:r>
      <w:proofErr w:type="spellStart"/>
      <w:r w:rsidRPr="000D1D1D">
        <w:rPr>
          <w:rFonts w:ascii="Times New Roman" w:hAnsi="Times New Roman" w:cs="Times New Roman"/>
          <w:sz w:val="24"/>
          <w:szCs w:val="24"/>
        </w:rPr>
        <w:t>Zaher</w:t>
      </w:r>
      <w:proofErr w:type="spellEnd"/>
      <w:r w:rsidRPr="000D1D1D">
        <w:rPr>
          <w:rFonts w:ascii="Times New Roman" w:hAnsi="Times New Roman" w:cs="Times New Roman"/>
          <w:sz w:val="24"/>
          <w:szCs w:val="24"/>
        </w:rPr>
        <w:t xml:space="preserve"> and Hassan, 2001). These simply indicate that for Islamic banking and finance industry to sustain continuous growth and compete in local as well as global markets, they have to design and innovate Shariah compliant instruments that can cope with the continuous innovations in the present financial markets. </w:t>
      </w:r>
    </w:p>
    <w:p w:rsidR="00180AE6" w:rsidRPr="000D1D1D" w:rsidRDefault="00180AE6" w:rsidP="00180AE6">
      <w:pPr>
        <w:pStyle w:val="NoSpacing"/>
        <w:spacing w:line="276" w:lineRule="auto"/>
        <w:ind w:firstLine="720"/>
        <w:jc w:val="both"/>
        <w:rPr>
          <w:rFonts w:ascii="Times New Roman" w:hAnsi="Times New Roman" w:cs="Times New Roman"/>
          <w:sz w:val="24"/>
          <w:szCs w:val="24"/>
        </w:rPr>
      </w:pP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With regard to Islamic banking contributions to the economic growth, extant literature </w:t>
      </w:r>
      <w:proofErr w:type="gramStart"/>
      <w:r w:rsidRPr="000D1D1D">
        <w:rPr>
          <w:rFonts w:ascii="Times New Roman" w:hAnsi="Times New Roman" w:cs="Times New Roman"/>
          <w:sz w:val="24"/>
          <w:szCs w:val="24"/>
        </w:rPr>
        <w:t>indicate</w:t>
      </w:r>
      <w:proofErr w:type="gramEnd"/>
      <w:r w:rsidRPr="000D1D1D">
        <w:rPr>
          <w:rFonts w:ascii="Times New Roman" w:hAnsi="Times New Roman" w:cs="Times New Roman"/>
          <w:sz w:val="24"/>
          <w:szCs w:val="24"/>
        </w:rPr>
        <w:t xml:space="preserve"> that there are only few studies carried out in this area. Among them, </w:t>
      </w:r>
      <w:sdt>
        <w:sdtPr>
          <w:rPr>
            <w:rFonts w:ascii="Times New Roman" w:hAnsi="Times New Roman" w:cs="Times New Roman"/>
            <w:sz w:val="24"/>
            <w:szCs w:val="24"/>
          </w:rPr>
          <w:id w:val="1554578957"/>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Muh12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(Abduh &amp; Chowdhury, 2012)</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and </w:t>
      </w:r>
      <w:sdt>
        <w:sdtPr>
          <w:rPr>
            <w:rFonts w:ascii="Times New Roman" w:hAnsi="Times New Roman" w:cs="Times New Roman"/>
            <w:sz w:val="24"/>
            <w:szCs w:val="24"/>
          </w:rPr>
          <w:id w:val="-1644037359"/>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Abd12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(Abduh &amp; Omar, 2012)</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both verified on Islamic banking relationship and contribution towards the economic growth of Bangladesh and Indonesia was found to have positive significant relationship both in short run and long run with bi-directional relationship. Later, </w:t>
      </w:r>
      <w:sdt>
        <w:sdtPr>
          <w:rPr>
            <w:rFonts w:ascii="Times New Roman" w:hAnsi="Times New Roman" w:cs="Times New Roman"/>
            <w:sz w:val="24"/>
            <w:szCs w:val="24"/>
          </w:rPr>
          <w:id w:val="-1148893431"/>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Tur12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(Manap, Abduh, &amp; Omar, 2012)</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further investigate the causal relationship between Islamic financial development and economic growth in context of Malaysia by employing the Toda and Yamamoto Wald test. The results indicate that Islamic financing granger cause economic growth but not vice versa which is consistent to Schumpeter’s view of supply-leading hypothesis where it is believe that financial development promotes economic growth.</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noProof/>
          <w:sz w:val="24"/>
          <w:szCs w:val="24"/>
          <w:lang w:val="en-US"/>
        </w:rPr>
        <w:t>In addition, Al-Oqool, et. al. (2014)</w:t>
      </w:r>
      <w:r w:rsidRPr="000D1D1D">
        <w:rPr>
          <w:rFonts w:ascii="Times New Roman" w:hAnsi="Times New Roman" w:cs="Times New Roman"/>
          <w:sz w:val="24"/>
          <w:szCs w:val="24"/>
        </w:rPr>
        <w:t xml:space="preserve"> in their study of financial Islamic banking development and economic growth in Jordan results that bi-directional long run granger </w:t>
      </w:r>
      <w:proofErr w:type="gramStart"/>
      <w:r w:rsidRPr="000D1D1D">
        <w:rPr>
          <w:rFonts w:ascii="Times New Roman" w:hAnsi="Times New Roman" w:cs="Times New Roman"/>
          <w:sz w:val="24"/>
          <w:szCs w:val="24"/>
        </w:rPr>
        <w:t>exist</w:t>
      </w:r>
      <w:proofErr w:type="gramEnd"/>
      <w:r w:rsidRPr="000D1D1D">
        <w:rPr>
          <w:rFonts w:ascii="Times New Roman" w:hAnsi="Times New Roman" w:cs="Times New Roman"/>
          <w:sz w:val="24"/>
          <w:szCs w:val="24"/>
        </w:rPr>
        <w:t xml:space="preserve"> between real GDP and total finance of Jordanian Islamic banks, which reflect positive contribution of Jordanian Islamic banks to the economic development. However, their short </w:t>
      </w:r>
      <w:r w:rsidRPr="000D1D1D">
        <w:rPr>
          <w:rFonts w:ascii="Times New Roman" w:hAnsi="Times New Roman" w:cs="Times New Roman"/>
          <w:sz w:val="24"/>
          <w:szCs w:val="24"/>
        </w:rPr>
        <w:lastRenderedPageBreak/>
        <w:t xml:space="preserve">run causality </w:t>
      </w:r>
      <w:r w:rsidR="00180AE6" w:rsidRPr="000D1D1D">
        <w:rPr>
          <w:rFonts w:ascii="Times New Roman" w:hAnsi="Times New Roman" w:cs="Times New Roman"/>
          <w:sz w:val="24"/>
          <w:szCs w:val="24"/>
        </w:rPr>
        <w:t>indicates</w:t>
      </w:r>
      <w:r w:rsidRPr="000D1D1D">
        <w:rPr>
          <w:rFonts w:ascii="Times New Roman" w:hAnsi="Times New Roman" w:cs="Times New Roman"/>
          <w:sz w:val="24"/>
          <w:szCs w:val="24"/>
        </w:rPr>
        <w:t xml:space="preserve"> as no significant relationship between these two (financial Islamic banking development and economic growth).</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Surprisingly, different finding </w:t>
      </w:r>
      <w:r w:rsidR="00180AE6" w:rsidRPr="000D1D1D">
        <w:rPr>
          <w:rFonts w:ascii="Times New Roman" w:hAnsi="Times New Roman" w:cs="Times New Roman"/>
          <w:sz w:val="24"/>
          <w:szCs w:val="24"/>
        </w:rPr>
        <w:t>investigated</w:t>
      </w:r>
      <w:r w:rsidRPr="000D1D1D">
        <w:rPr>
          <w:rFonts w:ascii="Times New Roman" w:hAnsi="Times New Roman" w:cs="Times New Roman"/>
          <w:sz w:val="24"/>
          <w:szCs w:val="24"/>
        </w:rPr>
        <w:t xml:space="preserve"> by </w:t>
      </w:r>
      <w:sdt>
        <w:sdtPr>
          <w:rPr>
            <w:rFonts w:ascii="Times New Roman" w:hAnsi="Times New Roman" w:cs="Times New Roman"/>
            <w:sz w:val="24"/>
            <w:szCs w:val="24"/>
          </w:rPr>
          <w:id w:val="-219060272"/>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Haf09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(Furqani &amp; Mulyany, 2009)</w:t>
          </w:r>
          <w:r w:rsidR="000A72BF" w:rsidRPr="000D1D1D">
            <w:rPr>
              <w:rFonts w:ascii="Times New Roman" w:hAnsi="Times New Roman" w:cs="Times New Roman"/>
              <w:sz w:val="24"/>
              <w:szCs w:val="24"/>
            </w:rPr>
            <w:fldChar w:fldCharType="end"/>
          </w:r>
        </w:sdtContent>
      </w:sdt>
      <w:r w:rsidR="00180AE6" w:rsidRPr="000D1D1D">
        <w:rPr>
          <w:rFonts w:ascii="Times New Roman" w:hAnsi="Times New Roman" w:cs="Times New Roman"/>
          <w:sz w:val="24"/>
          <w:szCs w:val="24"/>
        </w:rPr>
        <w:t xml:space="preserve"> where t</w:t>
      </w:r>
      <w:r w:rsidRPr="000D1D1D">
        <w:rPr>
          <w:rFonts w:ascii="Times New Roman" w:hAnsi="Times New Roman" w:cs="Times New Roman"/>
          <w:sz w:val="24"/>
          <w:szCs w:val="24"/>
        </w:rPr>
        <w:t xml:space="preserve">his study found that only in short run-the fixed investment granger cause Islamic bank. In the long run, it </w:t>
      </w:r>
      <w:proofErr w:type="gramStart"/>
      <w:r w:rsidRPr="000D1D1D">
        <w:rPr>
          <w:rFonts w:ascii="Times New Roman" w:hAnsi="Times New Roman" w:cs="Times New Roman"/>
          <w:sz w:val="24"/>
          <w:szCs w:val="24"/>
        </w:rPr>
        <w:t>possess</w:t>
      </w:r>
      <w:proofErr w:type="gramEnd"/>
      <w:r w:rsidRPr="000D1D1D">
        <w:rPr>
          <w:rFonts w:ascii="Times New Roman" w:hAnsi="Times New Roman" w:cs="Times New Roman"/>
          <w:sz w:val="24"/>
          <w:szCs w:val="24"/>
        </w:rPr>
        <w:t xml:space="preserve"> bidirectional relationship between Islamic bank and fixed investment which support the ‘demand following’ hypothesis of GDP and Islamic bank where an increase in GDP causes Islamic banking to develop and not vice versa. On the other hand, even though using almost similar time span data, this finding was inverse to </w:t>
      </w:r>
      <w:sdt>
        <w:sdtPr>
          <w:rPr>
            <w:rFonts w:ascii="Times New Roman" w:hAnsi="Times New Roman" w:cs="Times New Roman"/>
            <w:sz w:val="24"/>
            <w:szCs w:val="24"/>
          </w:rPr>
          <w:id w:val="-218211436"/>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Maj10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(Majid &amp; Kassim, 2010)</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whereby it was concluded that the relationship is supporting the supply- leading interpretation.</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Uniquely, </w:t>
      </w:r>
      <w:sdt>
        <w:sdtPr>
          <w:rPr>
            <w:rFonts w:ascii="Times New Roman" w:hAnsi="Times New Roman" w:cs="Times New Roman"/>
            <w:sz w:val="24"/>
            <w:szCs w:val="24"/>
          </w:rPr>
          <w:id w:val="1595899739"/>
          <w:citation/>
        </w:sdtPr>
        <w:sdtEndPr/>
        <w:sdtContent>
          <w:r w:rsidR="000A72BF" w:rsidRPr="000D1D1D">
            <w:rPr>
              <w:rFonts w:ascii="Times New Roman" w:hAnsi="Times New Roman" w:cs="Times New Roman"/>
              <w:sz w:val="24"/>
              <w:szCs w:val="24"/>
            </w:rPr>
            <w:fldChar w:fldCharType="begin"/>
          </w:r>
          <w:r w:rsidRPr="000D1D1D">
            <w:rPr>
              <w:rFonts w:ascii="Times New Roman" w:hAnsi="Times New Roman" w:cs="Times New Roman"/>
              <w:sz w:val="24"/>
              <w:szCs w:val="24"/>
              <w:lang w:val="en-US"/>
            </w:rPr>
            <w:instrText xml:space="preserve"> CITATION Kat13 \l 1033 </w:instrText>
          </w:r>
          <w:r w:rsidR="000A72BF" w:rsidRPr="000D1D1D">
            <w:rPr>
              <w:rFonts w:ascii="Times New Roman" w:hAnsi="Times New Roman" w:cs="Times New Roman"/>
              <w:sz w:val="24"/>
              <w:szCs w:val="24"/>
            </w:rPr>
            <w:fldChar w:fldCharType="separate"/>
          </w:r>
          <w:r w:rsidRPr="000D1D1D">
            <w:rPr>
              <w:rFonts w:ascii="Times New Roman" w:hAnsi="Times New Roman" w:cs="Times New Roman"/>
              <w:noProof/>
              <w:sz w:val="24"/>
              <w:szCs w:val="24"/>
              <w:lang w:val="en-US"/>
            </w:rPr>
            <w:t>(Johnson, 2013)</w:t>
          </w:r>
          <w:r w:rsidR="000A72BF" w:rsidRPr="000D1D1D">
            <w:rPr>
              <w:rFonts w:ascii="Times New Roman" w:hAnsi="Times New Roman" w:cs="Times New Roman"/>
              <w:sz w:val="24"/>
              <w:szCs w:val="24"/>
            </w:rPr>
            <w:fldChar w:fldCharType="end"/>
          </w:r>
        </w:sdtContent>
      </w:sdt>
      <w:r w:rsidRPr="000D1D1D">
        <w:rPr>
          <w:rFonts w:ascii="Times New Roman" w:hAnsi="Times New Roman" w:cs="Times New Roman"/>
          <w:sz w:val="24"/>
          <w:szCs w:val="24"/>
        </w:rPr>
        <w:t xml:space="preserve"> study on the role of Islamic banking in economic growth revealed that on average, countries with Islamic banks possess much advanced population growing rate, added Muslim shares of the population, a bottomless financial system, and greater GDP per capita than countries without Islamic banks. However, while using the exogenous instrument in 2SLS regression, results show that Islamic bank are not significantly correlated with economic growth. Moreover, while examining the role of banking during the process of economic development evolves over time, </w:t>
      </w:r>
      <w:r w:rsidR="00180AE6" w:rsidRPr="000D1D1D">
        <w:rPr>
          <w:rFonts w:ascii="Times New Roman" w:hAnsi="Times New Roman" w:cs="Times New Roman"/>
          <w:sz w:val="24"/>
          <w:szCs w:val="24"/>
        </w:rPr>
        <w:t xml:space="preserve">Demirguc et.al (2012) </w:t>
      </w:r>
      <w:r w:rsidRPr="000D1D1D">
        <w:rPr>
          <w:rFonts w:ascii="Times New Roman" w:hAnsi="Times New Roman" w:cs="Times New Roman"/>
          <w:sz w:val="24"/>
          <w:szCs w:val="24"/>
        </w:rPr>
        <w:t>found the relationship between economic activity and bank development decreases with economic development, while the relationship between economic</w:t>
      </w:r>
      <w:r w:rsidR="00180AE6" w:rsidRPr="000D1D1D">
        <w:rPr>
          <w:rFonts w:ascii="Times New Roman" w:hAnsi="Times New Roman" w:cs="Times New Roman"/>
          <w:sz w:val="24"/>
          <w:szCs w:val="24"/>
        </w:rPr>
        <w:t xml:space="preserve"> activity and securities market </w:t>
      </w:r>
      <w:r w:rsidRPr="000D1D1D">
        <w:rPr>
          <w:rFonts w:ascii="Times New Roman" w:hAnsi="Times New Roman" w:cs="Times New Roman"/>
          <w:sz w:val="24"/>
          <w:szCs w:val="24"/>
        </w:rPr>
        <w:t>increases during growth.</w:t>
      </w:r>
    </w:p>
    <w:p w:rsidR="008A006D" w:rsidRPr="000D1D1D" w:rsidRDefault="008A006D"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Ensued from the present studies on Islamic financial framework, this paper meant to narrow the literature gap in the discussion of determining the relationship and contribution of Islamic banks towards economic growth, specifically in Malaysia. Furthermore, to achieve a more dynamic result compare to other studies, this paper employs battery of time series econometric techniques to attain bottomless analysis.</w:t>
      </w:r>
    </w:p>
    <w:p w:rsidR="00E0694D" w:rsidRPr="000D1D1D" w:rsidRDefault="00E0694D" w:rsidP="00862614">
      <w:pPr>
        <w:pStyle w:val="Default"/>
        <w:spacing w:line="276" w:lineRule="auto"/>
        <w:jc w:val="both"/>
        <w:rPr>
          <w:rFonts w:ascii="Times New Roman" w:hAnsi="Times New Roman" w:cs="Times New Roman"/>
          <w:b/>
        </w:rPr>
      </w:pPr>
      <w:r w:rsidRPr="000D1D1D">
        <w:rPr>
          <w:rFonts w:ascii="Times New Roman" w:hAnsi="Times New Roman" w:cs="Times New Roman"/>
          <w:b/>
        </w:rPr>
        <w:t>METHODOLOGY</w:t>
      </w:r>
    </w:p>
    <w:p w:rsidR="00E0694D" w:rsidRPr="000D1D1D" w:rsidRDefault="00E0694D" w:rsidP="00862614">
      <w:pPr>
        <w:pStyle w:val="Default"/>
        <w:spacing w:line="276" w:lineRule="auto"/>
        <w:jc w:val="both"/>
        <w:rPr>
          <w:rFonts w:ascii="Times New Roman" w:hAnsi="Times New Roman" w:cs="Times New Roman"/>
        </w:rPr>
      </w:pPr>
    </w:p>
    <w:p w:rsidR="00862614" w:rsidRPr="000D1D1D" w:rsidRDefault="00862614" w:rsidP="00862614">
      <w:pPr>
        <w:pStyle w:val="Default"/>
        <w:spacing w:line="276" w:lineRule="auto"/>
        <w:jc w:val="both"/>
        <w:rPr>
          <w:rFonts w:ascii="Times New Roman" w:hAnsi="Times New Roman" w:cs="Times New Roman"/>
        </w:rPr>
      </w:pPr>
      <w:r w:rsidRPr="000D1D1D">
        <w:rPr>
          <w:rFonts w:ascii="Times New Roman" w:hAnsi="Times New Roman" w:cs="Times New Roman"/>
        </w:rPr>
        <w:t xml:space="preserve">The empirical data and analyses in this paper cover a 8-year-period using quarterly time </w:t>
      </w:r>
      <w:r w:rsidR="007E39F5" w:rsidRPr="000D1D1D">
        <w:rPr>
          <w:rFonts w:ascii="Times New Roman" w:hAnsi="Times New Roman" w:cs="Times New Roman"/>
        </w:rPr>
        <w:t>–</w:t>
      </w:r>
      <w:r w:rsidRPr="000D1D1D">
        <w:rPr>
          <w:rFonts w:ascii="Times New Roman" w:hAnsi="Times New Roman" w:cs="Times New Roman"/>
        </w:rPr>
        <w:t xml:space="preserve"> series data (</w:t>
      </w:r>
      <w:proofErr w:type="gramStart"/>
      <w:r w:rsidRPr="000D1D1D">
        <w:rPr>
          <w:rFonts w:ascii="Times New Roman" w:hAnsi="Times New Roman" w:cs="Times New Roman"/>
        </w:rPr>
        <w:t>2007:Q</w:t>
      </w:r>
      <w:proofErr w:type="gramEnd"/>
      <w:r w:rsidRPr="000D1D1D">
        <w:rPr>
          <w:rFonts w:ascii="Times New Roman" w:hAnsi="Times New Roman" w:cs="Times New Roman"/>
        </w:rPr>
        <w:t>1-2014:Q1) which should be adequate to test the short – run and long –run relationship between the independent and dependent variables. The data series required involves real gross domestic product (GDP), total deposit of Islamic bank, total financing of Islamic bank, total assets of Islamic bank and nonperforming loan of Islamic bank. The data are obtained from Bank Negara Quarterly Statistical Bulletin, IMF’s International Financial Statistics database (IFS) and complemented by data from www.econstats.com for chosen years. First of all, we assume that real GDP is a function of its macroeconomic variables as expressed by equation below;</w:t>
      </w:r>
    </w:p>
    <w:p w:rsidR="00862614" w:rsidRPr="00450DF8" w:rsidRDefault="00862614" w:rsidP="00862614">
      <w:pPr>
        <w:pStyle w:val="Default"/>
        <w:rPr>
          <w:sz w:val="22"/>
          <w:szCs w:val="22"/>
        </w:rPr>
      </w:pPr>
    </w:p>
    <w:p w:rsidR="00862614" w:rsidRPr="00450DF8" w:rsidRDefault="00862614" w:rsidP="00862614">
      <w:pPr>
        <w:pStyle w:val="Default"/>
        <w:jc w:val="center"/>
        <w:rPr>
          <w:sz w:val="22"/>
          <w:szCs w:val="22"/>
        </w:rPr>
      </w:pPr>
      <w:r w:rsidRPr="00450DF8">
        <w:rPr>
          <w:position w:val="-10"/>
          <w:sz w:val="22"/>
          <w:szCs w:val="22"/>
        </w:rPr>
        <w:object w:dxaOrig="3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15pt;height:16.15pt" o:ole="">
            <v:imagedata r:id="rId12" o:title=""/>
          </v:shape>
          <o:OLEObject Type="Embed" ProgID="Equation.3" ShapeID="_x0000_i1025" DrawAspect="Content" ObjectID="_1557228825" r:id="rId13"/>
        </w:object>
      </w:r>
    </w:p>
    <w:p w:rsidR="00862614" w:rsidRPr="00450DF8" w:rsidRDefault="00862614" w:rsidP="00862614">
      <w:pPr>
        <w:pStyle w:val="Default"/>
        <w:rPr>
          <w:sz w:val="22"/>
          <w:szCs w:val="22"/>
        </w:rPr>
      </w:pPr>
    </w:p>
    <w:p w:rsidR="00862614" w:rsidRPr="000D1D1D" w:rsidRDefault="00862614" w:rsidP="00180AE6">
      <w:pPr>
        <w:pStyle w:val="Default"/>
        <w:rPr>
          <w:rFonts w:ascii="Times New Roman" w:hAnsi="Times New Roman" w:cs="Times New Roman"/>
        </w:rPr>
      </w:pPr>
      <w:r w:rsidRPr="000D1D1D">
        <w:rPr>
          <w:rFonts w:ascii="Times New Roman" w:hAnsi="Times New Roman" w:cs="Times New Roman"/>
        </w:rPr>
        <w:t>Next to examine this relationship the generic model applied takes the form as follows;</w:t>
      </w:r>
    </w:p>
    <w:p w:rsidR="00862614" w:rsidRPr="00450DF8" w:rsidRDefault="00862614" w:rsidP="00862614">
      <w:pPr>
        <w:pStyle w:val="Default"/>
        <w:rPr>
          <w:sz w:val="22"/>
          <w:szCs w:val="22"/>
        </w:rPr>
      </w:pPr>
    </w:p>
    <w:p w:rsidR="00862614" w:rsidRPr="00450DF8" w:rsidRDefault="00862614" w:rsidP="009E2DA8">
      <w:pPr>
        <w:pStyle w:val="Default"/>
        <w:jc w:val="center"/>
        <w:rPr>
          <w:sz w:val="22"/>
          <w:szCs w:val="22"/>
        </w:rPr>
      </w:pPr>
      <w:r w:rsidRPr="00450DF8">
        <w:rPr>
          <w:position w:val="-12"/>
          <w:sz w:val="22"/>
          <w:szCs w:val="22"/>
        </w:rPr>
        <w:object w:dxaOrig="7320" w:dyaOrig="360">
          <v:shape id="_x0000_i1026" type="#_x0000_t75" style="width:364.95pt;height:18.6pt" o:ole="">
            <v:imagedata r:id="rId14" o:title=""/>
          </v:shape>
          <o:OLEObject Type="Embed" ProgID="Equation.3" ShapeID="_x0000_i1026" DrawAspect="Content" ObjectID="_1557228826" r:id="rId15"/>
        </w:object>
      </w:r>
      <w:r w:rsidR="009E2DA8" w:rsidRPr="00450DF8">
        <w:rPr>
          <w:sz w:val="22"/>
          <w:szCs w:val="22"/>
        </w:rPr>
        <w:t xml:space="preserve"> </w:t>
      </w:r>
      <w:r w:rsidR="009E2DA8" w:rsidRPr="00450DF8">
        <w:rPr>
          <w:rFonts w:ascii="Times New Roman" w:hAnsi="Times New Roman" w:cs="Times New Roman"/>
          <w:sz w:val="22"/>
          <w:szCs w:val="22"/>
        </w:rPr>
        <w:t>(1)</w:t>
      </w:r>
    </w:p>
    <w:p w:rsidR="00862614" w:rsidRPr="00450DF8" w:rsidRDefault="00862614" w:rsidP="00862614">
      <w:pPr>
        <w:pStyle w:val="Default"/>
        <w:rPr>
          <w:sz w:val="22"/>
          <w:szCs w:val="22"/>
        </w:rPr>
      </w:pPr>
    </w:p>
    <w:p w:rsidR="00862614" w:rsidRPr="000D1D1D" w:rsidRDefault="00862614" w:rsidP="00862614">
      <w:pPr>
        <w:pStyle w:val="Default"/>
        <w:rPr>
          <w:rFonts w:ascii="Times New Roman" w:hAnsi="Times New Roman" w:cs="Times New Roman"/>
        </w:rPr>
      </w:pPr>
      <w:r w:rsidRPr="000D1D1D">
        <w:rPr>
          <w:rFonts w:ascii="Times New Roman" w:hAnsi="Times New Roman" w:cs="Times New Roman"/>
        </w:rPr>
        <w:lastRenderedPageBreak/>
        <w:t xml:space="preserve">where: </w:t>
      </w:r>
    </w:p>
    <w:p w:rsidR="00862614" w:rsidRPr="000D1D1D" w:rsidRDefault="00862614" w:rsidP="008746F6">
      <w:pPr>
        <w:pStyle w:val="NoSpacing"/>
        <w:rPr>
          <w:sz w:val="24"/>
          <w:szCs w:val="24"/>
        </w:rPr>
      </w:pPr>
    </w:p>
    <w:p w:rsidR="00862614" w:rsidRPr="000D1D1D" w:rsidRDefault="00862614" w:rsidP="008746F6">
      <w:pPr>
        <w:pStyle w:val="NoSpacing"/>
        <w:rPr>
          <w:rFonts w:ascii="Times New Roman" w:hAnsi="Times New Roman" w:cs="Times New Roman"/>
          <w:sz w:val="24"/>
          <w:szCs w:val="24"/>
        </w:rPr>
      </w:pPr>
      <w:r w:rsidRPr="000D1D1D">
        <w:rPr>
          <w:rFonts w:ascii="Times New Roman" w:hAnsi="Times New Roman" w:cs="Times New Roman"/>
          <w:sz w:val="24"/>
          <w:szCs w:val="24"/>
        </w:rPr>
        <w:t>LnRGDP</w:t>
      </w:r>
      <w:r w:rsidRPr="000D1D1D">
        <w:rPr>
          <w:rFonts w:ascii="Times New Roman" w:hAnsi="Times New Roman" w:cs="Times New Roman"/>
          <w:sz w:val="24"/>
          <w:szCs w:val="24"/>
        </w:rPr>
        <w:tab/>
        <w:t>= Natural Log of Real Gross Domestic Product</w:t>
      </w:r>
    </w:p>
    <w:p w:rsidR="00862614" w:rsidRPr="000D1D1D" w:rsidRDefault="00862614" w:rsidP="008746F6">
      <w:pPr>
        <w:pStyle w:val="NoSpacing"/>
        <w:rPr>
          <w:rFonts w:ascii="Times New Roman" w:hAnsi="Times New Roman" w:cs="Times New Roman"/>
          <w:sz w:val="24"/>
          <w:szCs w:val="24"/>
        </w:rPr>
      </w:pPr>
      <w:r w:rsidRPr="000D1D1D">
        <w:rPr>
          <w:rFonts w:ascii="Times New Roman" w:hAnsi="Times New Roman" w:cs="Times New Roman"/>
          <w:sz w:val="24"/>
          <w:szCs w:val="24"/>
        </w:rPr>
        <w:t xml:space="preserve">LnTDIB </w:t>
      </w:r>
      <w:r w:rsidRPr="000D1D1D">
        <w:rPr>
          <w:rFonts w:ascii="Times New Roman" w:hAnsi="Times New Roman" w:cs="Times New Roman"/>
          <w:sz w:val="24"/>
          <w:szCs w:val="24"/>
        </w:rPr>
        <w:tab/>
        <w:t>= Natural Log of Total Deposit of Islamic bank</w:t>
      </w:r>
    </w:p>
    <w:p w:rsidR="00862614" w:rsidRPr="000D1D1D" w:rsidRDefault="00862614" w:rsidP="008746F6">
      <w:pPr>
        <w:pStyle w:val="NoSpacing"/>
        <w:rPr>
          <w:rFonts w:ascii="Times New Roman" w:hAnsi="Times New Roman" w:cs="Times New Roman"/>
          <w:sz w:val="24"/>
          <w:szCs w:val="24"/>
        </w:rPr>
      </w:pPr>
      <w:r w:rsidRPr="000D1D1D">
        <w:rPr>
          <w:rFonts w:ascii="Times New Roman" w:hAnsi="Times New Roman" w:cs="Times New Roman"/>
          <w:sz w:val="24"/>
          <w:szCs w:val="24"/>
        </w:rPr>
        <w:t>LnTFIB</w:t>
      </w:r>
      <w:r w:rsidRPr="000D1D1D">
        <w:rPr>
          <w:rFonts w:ascii="Times New Roman" w:hAnsi="Times New Roman" w:cs="Times New Roman"/>
          <w:i/>
          <w:sz w:val="24"/>
          <w:szCs w:val="24"/>
        </w:rPr>
        <w:tab/>
      </w:r>
      <w:r w:rsidRPr="000D1D1D">
        <w:rPr>
          <w:rFonts w:ascii="Times New Roman" w:hAnsi="Times New Roman" w:cs="Times New Roman"/>
          <w:sz w:val="24"/>
          <w:szCs w:val="24"/>
        </w:rPr>
        <w:t>= Natural Log of Total Financing of Islamic bank</w:t>
      </w:r>
    </w:p>
    <w:p w:rsidR="00862614" w:rsidRPr="000D1D1D" w:rsidRDefault="00862614" w:rsidP="008746F6">
      <w:pPr>
        <w:pStyle w:val="NoSpacing"/>
        <w:rPr>
          <w:rFonts w:ascii="Times New Roman" w:hAnsi="Times New Roman" w:cs="Times New Roman"/>
          <w:sz w:val="24"/>
          <w:szCs w:val="24"/>
        </w:rPr>
      </w:pPr>
      <w:r w:rsidRPr="000D1D1D">
        <w:rPr>
          <w:rFonts w:ascii="Times New Roman" w:hAnsi="Times New Roman" w:cs="Times New Roman"/>
          <w:sz w:val="24"/>
          <w:szCs w:val="24"/>
        </w:rPr>
        <w:t xml:space="preserve">LnTAIB </w:t>
      </w:r>
      <w:r w:rsidRPr="000D1D1D">
        <w:rPr>
          <w:rFonts w:ascii="Times New Roman" w:hAnsi="Times New Roman" w:cs="Times New Roman"/>
          <w:sz w:val="24"/>
          <w:szCs w:val="24"/>
        </w:rPr>
        <w:tab/>
        <w:t>= Natural Log of Total Assets of Islamic bank</w:t>
      </w:r>
    </w:p>
    <w:p w:rsidR="008746F6" w:rsidRPr="000D1D1D" w:rsidRDefault="00862614" w:rsidP="008746F6">
      <w:pPr>
        <w:pStyle w:val="NoSpacing"/>
        <w:rPr>
          <w:rFonts w:ascii="Times New Roman" w:hAnsi="Times New Roman" w:cs="Times New Roman"/>
          <w:sz w:val="24"/>
          <w:szCs w:val="24"/>
        </w:rPr>
      </w:pPr>
      <w:r w:rsidRPr="000D1D1D">
        <w:rPr>
          <w:rFonts w:ascii="Times New Roman" w:hAnsi="Times New Roman" w:cs="Times New Roman"/>
          <w:sz w:val="24"/>
          <w:szCs w:val="24"/>
        </w:rPr>
        <w:t>LnNPLIB</w:t>
      </w:r>
      <w:r w:rsidRPr="000D1D1D">
        <w:rPr>
          <w:rFonts w:ascii="Times New Roman" w:hAnsi="Times New Roman" w:cs="Times New Roman"/>
          <w:sz w:val="24"/>
          <w:szCs w:val="24"/>
        </w:rPr>
        <w:tab/>
        <w:t>= Natural Log of Nonperforming Loan of Islamic bank</w:t>
      </w:r>
    </w:p>
    <w:p w:rsidR="008746F6" w:rsidRPr="000D1D1D" w:rsidRDefault="009D423E" w:rsidP="008746F6">
      <w:pPr>
        <w:pStyle w:val="NoSpacing"/>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8746F6" w:rsidRPr="000D1D1D">
        <w:rPr>
          <w:rFonts w:ascii="Times New Roman" w:eastAsiaTheme="minorEastAsia" w:hAnsi="Times New Roman" w:cs="Times New Roman"/>
          <w:sz w:val="24"/>
          <w:szCs w:val="24"/>
        </w:rPr>
        <w:tab/>
      </w:r>
      <w:r w:rsidR="008746F6" w:rsidRPr="000D1D1D">
        <w:rPr>
          <w:rFonts w:ascii="Times New Roman" w:eastAsiaTheme="minorEastAsia" w:hAnsi="Times New Roman" w:cs="Times New Roman"/>
          <w:sz w:val="24"/>
          <w:szCs w:val="24"/>
        </w:rPr>
        <w:tab/>
        <w:t>= Error Terms</w:t>
      </w:r>
    </w:p>
    <w:p w:rsidR="00D0763C" w:rsidRPr="00450DF8" w:rsidRDefault="00D0763C"/>
    <w:p w:rsidR="00C14720" w:rsidRPr="000D1D1D" w:rsidRDefault="00C14720" w:rsidP="00180AE6">
      <w:pPr>
        <w:ind w:firstLine="720"/>
        <w:rPr>
          <w:rFonts w:ascii="Times New Roman" w:hAnsi="Times New Roman" w:cs="Times New Roman"/>
          <w:sz w:val="24"/>
          <w:szCs w:val="24"/>
        </w:rPr>
      </w:pPr>
      <w:r w:rsidRPr="000D1D1D">
        <w:rPr>
          <w:rFonts w:ascii="Times New Roman" w:hAnsi="Times New Roman" w:cs="Times New Roman"/>
          <w:sz w:val="24"/>
          <w:szCs w:val="24"/>
        </w:rPr>
        <w:t xml:space="preserve">Based on </w:t>
      </w:r>
      <w:r w:rsidR="00DB018C" w:rsidRPr="000D1D1D">
        <w:rPr>
          <w:rFonts w:ascii="Times New Roman" w:hAnsi="Times New Roman" w:cs="Times New Roman"/>
          <w:sz w:val="24"/>
          <w:szCs w:val="24"/>
        </w:rPr>
        <w:t xml:space="preserve">the </w:t>
      </w:r>
      <w:r w:rsidRPr="000D1D1D">
        <w:rPr>
          <w:rFonts w:ascii="Times New Roman" w:hAnsi="Times New Roman" w:cs="Times New Roman"/>
          <w:sz w:val="24"/>
          <w:szCs w:val="24"/>
        </w:rPr>
        <w:t>Vector Auto Regression (VAR), the above – mentioned equation (1) has 5 variables and can be writes as follows;</w:t>
      </w:r>
    </w:p>
    <w:p w:rsidR="00C14720" w:rsidRPr="00450DF8" w:rsidRDefault="00C14720" w:rsidP="009E2DA8">
      <w:pPr>
        <w:jc w:val="center"/>
      </w:pPr>
      <w:r w:rsidRPr="00450DF8">
        <w:rPr>
          <w:position w:val="-86"/>
        </w:rPr>
        <w:object w:dxaOrig="4860" w:dyaOrig="1840">
          <v:shape id="_x0000_i1027" type="#_x0000_t75" style="width:243.3pt;height:91.85pt" o:ole="">
            <v:imagedata r:id="rId16" o:title=""/>
          </v:shape>
          <o:OLEObject Type="Embed" ProgID="Equation.3" ShapeID="_x0000_i1027" DrawAspect="Content" ObjectID="_1557228827" r:id="rId17"/>
        </w:object>
      </w:r>
      <w:r w:rsidRPr="00450DF8">
        <w:t xml:space="preserve">      </w:t>
      </w:r>
      <w:r w:rsidR="009E2DA8" w:rsidRPr="00450DF8">
        <w:t xml:space="preserve">- </w:t>
      </w:r>
      <w:r w:rsidRPr="00450DF8">
        <w:t xml:space="preserve">      </w:t>
      </w:r>
      <w:r w:rsidR="009E2DA8" w:rsidRPr="00450DF8">
        <w:t xml:space="preserve">                                                               </w:t>
      </w:r>
    </w:p>
    <w:p w:rsidR="00C14720" w:rsidRPr="000D1D1D" w:rsidRDefault="00C14720" w:rsidP="00180AE6">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Where R is known as 5 × 5 matrix polynomial parameter estimators, (L) is lag length operators, A is an intercept vector and et is Gaussian error vector with mean zero and Ω is a Varian matrix.                                                  </w:t>
      </w:r>
    </w:p>
    <w:p w:rsidR="009E2DA8" w:rsidRPr="000D1D1D" w:rsidRDefault="008746F6" w:rsidP="00180AE6">
      <w:pPr>
        <w:ind w:firstLine="720"/>
        <w:jc w:val="both"/>
        <w:rPr>
          <w:rStyle w:val="Emphasis"/>
          <w:rFonts w:ascii="Times New Roman" w:hAnsi="Times New Roman" w:cs="Times New Roman"/>
          <w:bCs/>
          <w:i w:val="0"/>
          <w:sz w:val="24"/>
          <w:szCs w:val="24"/>
          <w:shd w:val="clear" w:color="auto" w:fill="FFFFFF"/>
        </w:rPr>
      </w:pPr>
      <w:r w:rsidRPr="000D1D1D">
        <w:rPr>
          <w:rFonts w:ascii="Times New Roman" w:eastAsia="Times New Roman" w:hAnsi="Times New Roman" w:cs="Times New Roman"/>
          <w:sz w:val="24"/>
          <w:szCs w:val="24"/>
          <w:lang w:eastAsia="en-MY"/>
        </w:rPr>
        <w:t xml:space="preserve">Firstly, we </w:t>
      </w:r>
      <w:r w:rsidR="00D70E1D" w:rsidRPr="000D1D1D">
        <w:rPr>
          <w:rFonts w:ascii="Times New Roman" w:eastAsia="Times New Roman" w:hAnsi="Times New Roman" w:cs="Times New Roman"/>
          <w:sz w:val="24"/>
          <w:szCs w:val="24"/>
          <w:lang w:eastAsia="en-MY"/>
        </w:rPr>
        <w:t>utilize</w:t>
      </w:r>
      <w:r w:rsidRPr="000D1D1D">
        <w:rPr>
          <w:rFonts w:ascii="Times New Roman" w:eastAsia="Times New Roman" w:hAnsi="Times New Roman" w:cs="Times New Roman"/>
          <w:sz w:val="24"/>
          <w:szCs w:val="24"/>
          <w:lang w:eastAsia="en-MY"/>
        </w:rPr>
        <w:t xml:space="preserve"> the most commonly method used in the Unit Root Test namely; (i) Augmented Dickey Fuller (ADF</w:t>
      </w:r>
      <w:r w:rsidR="00D70E1D" w:rsidRPr="000D1D1D">
        <w:rPr>
          <w:rFonts w:ascii="Times New Roman" w:eastAsia="Times New Roman" w:hAnsi="Times New Roman" w:cs="Times New Roman"/>
          <w:sz w:val="24"/>
          <w:szCs w:val="24"/>
          <w:lang w:eastAsia="en-MY"/>
        </w:rPr>
        <w:t>) and</w:t>
      </w:r>
      <w:r w:rsidRPr="000D1D1D">
        <w:rPr>
          <w:rFonts w:ascii="Times New Roman" w:eastAsia="Times New Roman" w:hAnsi="Times New Roman" w:cs="Times New Roman"/>
          <w:sz w:val="24"/>
          <w:szCs w:val="24"/>
          <w:lang w:eastAsia="en-MY"/>
        </w:rPr>
        <w:t xml:space="preserve"> Phillips – Perron (PP)</w:t>
      </w:r>
      <w:r w:rsidR="00D70E1D" w:rsidRPr="000D1D1D">
        <w:rPr>
          <w:rFonts w:ascii="Times New Roman" w:eastAsia="Times New Roman" w:hAnsi="Times New Roman" w:cs="Times New Roman"/>
          <w:sz w:val="24"/>
          <w:szCs w:val="24"/>
          <w:lang w:eastAsia="en-MY"/>
        </w:rPr>
        <w:t xml:space="preserve"> tests to determine the variables stationarity properties. </w:t>
      </w:r>
      <w:r w:rsidR="00D70E1D" w:rsidRPr="000D1D1D">
        <w:rPr>
          <w:rFonts w:ascii="Times New Roman" w:hAnsi="Times New Roman" w:cs="Times New Roman"/>
          <w:sz w:val="24"/>
          <w:szCs w:val="24"/>
        </w:rPr>
        <w:t>In order to avoid spurious results, we have conducted the test for the stationarity. Time series is considered as stationary if a series is mean – reverting, that is, the series repeatedly returns back to its mean and does not have a tendency to drift (</w:t>
      </w:r>
      <w:r w:rsidR="00D70E1D" w:rsidRPr="000D1D1D">
        <w:rPr>
          <w:rFonts w:ascii="Times New Roman" w:eastAsiaTheme="minorEastAsia" w:hAnsi="Times New Roman" w:cs="Times New Roman"/>
          <w:sz w:val="24"/>
          <w:szCs w:val="24"/>
        </w:rPr>
        <w:t xml:space="preserve">Asmy et al, </w:t>
      </w:r>
      <w:r w:rsidR="00D70E1D" w:rsidRPr="000D1D1D">
        <w:rPr>
          <w:rFonts w:ascii="Times New Roman" w:hAnsi="Times New Roman" w:cs="Times New Roman"/>
          <w:sz w:val="24"/>
          <w:szCs w:val="24"/>
        </w:rPr>
        <w:t xml:space="preserve">2010). Therefore, if the mean and variance of the series are constant over time, while the value of the covariance between two periods depends only on the gap between the periods and not on the actual time at which the covariance is considered, then the series is stationary. But if one of the above conditions is not fulfilled, then the series is non – stationary (Paramaiah and Akway, 2008). Second, we proceeded with cointegration tests suggested by Johansen (1988) and Johansen and Juselius (1990). This test </w:t>
      </w:r>
      <w:proofErr w:type="gramStart"/>
      <w:r w:rsidR="00D70E1D" w:rsidRPr="000D1D1D">
        <w:rPr>
          <w:rFonts w:ascii="Times New Roman" w:hAnsi="Times New Roman" w:cs="Times New Roman"/>
          <w:sz w:val="24"/>
          <w:szCs w:val="24"/>
        </w:rPr>
        <w:t>provide</w:t>
      </w:r>
      <w:proofErr w:type="gramEnd"/>
      <w:r w:rsidR="00D70E1D" w:rsidRPr="000D1D1D">
        <w:rPr>
          <w:rFonts w:ascii="Times New Roman" w:hAnsi="Times New Roman" w:cs="Times New Roman"/>
          <w:sz w:val="24"/>
          <w:szCs w:val="24"/>
        </w:rPr>
        <w:t xml:space="preserve"> information in regards to the variables association in the long run, particularly measures of Real GDP and other explanatory variables are tied together in the long run. Thirdly, we further our analysis by using VECM where it is widely known as restricted</w:t>
      </w:r>
      <w:r w:rsidR="00D70E1D" w:rsidRPr="000D1D1D">
        <w:rPr>
          <w:rFonts w:ascii="Arial" w:hAnsi="Arial" w:cs="Arial"/>
          <w:b/>
          <w:bCs/>
          <w:iCs/>
          <w:color w:val="545454"/>
          <w:sz w:val="24"/>
          <w:szCs w:val="24"/>
          <w:shd w:val="clear" w:color="auto" w:fill="FFFFFF"/>
        </w:rPr>
        <w:t xml:space="preserve"> </w:t>
      </w:r>
      <w:r w:rsidR="00D70E1D" w:rsidRPr="000D1D1D">
        <w:rPr>
          <w:rFonts w:ascii="Times New Roman" w:hAnsi="Times New Roman" w:cs="Times New Roman"/>
          <w:bCs/>
          <w:iCs/>
          <w:sz w:val="24"/>
          <w:szCs w:val="24"/>
          <w:shd w:val="clear" w:color="auto" w:fill="FFFFFF"/>
        </w:rPr>
        <w:t>Vector</w:t>
      </w:r>
      <w:r w:rsidR="00D70E1D" w:rsidRPr="000D1D1D">
        <w:rPr>
          <w:rStyle w:val="Emphasis"/>
          <w:rFonts w:ascii="Times New Roman" w:hAnsi="Times New Roman" w:cs="Times New Roman"/>
          <w:bCs/>
          <w:i w:val="0"/>
          <w:sz w:val="24"/>
          <w:szCs w:val="24"/>
          <w:shd w:val="clear" w:color="auto" w:fill="FFFFFF"/>
        </w:rPr>
        <w:t xml:space="preserve"> auto regression (VAR) and used for non – stationary variables known to be cointegrated. Generally speaking, VECM restricts the long – run behaviour of endogenous variables to converge to their cointegrating relationship whereas induce short – run adjustment dynamics take place. Moreover, by using VECM, it allows us to differentiate the short –run and long – run association of the variables given specified time period. The variables might have dispersed in the short – run from one another which may cause disequilibrium in the system. Therefore, the statistical significance in regards to the coefficient associated with ECT (-1) will give us an error correction that drives the variable back to the long – run relationship (Gujarati, 2009). </w:t>
      </w:r>
    </w:p>
    <w:p w:rsidR="00D70E1D" w:rsidRPr="000D1D1D" w:rsidRDefault="00D70E1D" w:rsidP="00180AE6">
      <w:pPr>
        <w:ind w:firstLine="720"/>
        <w:jc w:val="both"/>
        <w:rPr>
          <w:rFonts w:ascii="Times New Roman" w:eastAsia="Times New Roman" w:hAnsi="Times New Roman" w:cs="Times New Roman"/>
          <w:sz w:val="24"/>
          <w:szCs w:val="24"/>
          <w:lang w:eastAsia="en-MY"/>
        </w:rPr>
      </w:pPr>
      <w:r w:rsidRPr="000D1D1D">
        <w:rPr>
          <w:rStyle w:val="Emphasis"/>
          <w:rFonts w:ascii="Times New Roman" w:hAnsi="Times New Roman" w:cs="Times New Roman"/>
          <w:bCs/>
          <w:i w:val="0"/>
          <w:sz w:val="24"/>
          <w:szCs w:val="24"/>
          <w:shd w:val="clear" w:color="auto" w:fill="FFFFFF"/>
        </w:rPr>
        <w:lastRenderedPageBreak/>
        <w:t xml:space="preserve">The next would be Granger causality test to see in how </w:t>
      </w:r>
      <w:r w:rsidR="00E00EE3" w:rsidRPr="000D1D1D">
        <w:rPr>
          <w:rStyle w:val="Emphasis"/>
          <w:rFonts w:ascii="Times New Roman" w:hAnsi="Times New Roman" w:cs="Times New Roman"/>
          <w:bCs/>
          <w:i w:val="0"/>
          <w:sz w:val="24"/>
          <w:szCs w:val="24"/>
          <w:shd w:val="clear" w:color="auto" w:fill="FFFFFF"/>
        </w:rPr>
        <w:t>many directions</w:t>
      </w:r>
      <w:r w:rsidRPr="000D1D1D">
        <w:rPr>
          <w:rStyle w:val="Emphasis"/>
          <w:rFonts w:ascii="Times New Roman" w:hAnsi="Times New Roman" w:cs="Times New Roman"/>
          <w:bCs/>
          <w:i w:val="0"/>
          <w:sz w:val="24"/>
          <w:szCs w:val="24"/>
          <w:shd w:val="clear" w:color="auto" w:fill="FFFFFF"/>
        </w:rPr>
        <w:t xml:space="preserve"> the variables will have relationship in the short run. </w:t>
      </w:r>
      <w:r w:rsidR="00E00EE3" w:rsidRPr="000D1D1D">
        <w:rPr>
          <w:rFonts w:ascii="Times New Roman" w:eastAsia="Times New Roman" w:hAnsi="Times New Roman" w:cs="Times New Roman"/>
          <w:sz w:val="24"/>
          <w:szCs w:val="24"/>
          <w:lang w:eastAsia="en-MY"/>
        </w:rPr>
        <w:t>The reason for checking the short – run relationship is to know whether the lags of one variable enter into the equation for another variable (Gujarati, 2009). Basically, there are two major steps involved in conducting Granger Causality tests namely; (i) data that are stationary needed and (ii) selection of lag length criteria. Therefore, for this study, we used Akaike Information Criterion (AIC) to determine lag</w:t>
      </w:r>
      <w:r w:rsidR="00DB018C" w:rsidRPr="000D1D1D">
        <w:rPr>
          <w:rFonts w:ascii="Times New Roman" w:eastAsia="Times New Roman" w:hAnsi="Times New Roman" w:cs="Times New Roman"/>
          <w:sz w:val="24"/>
          <w:szCs w:val="24"/>
          <w:lang w:eastAsia="en-MY"/>
        </w:rPr>
        <w:t xml:space="preserve"> length</w:t>
      </w:r>
      <w:r w:rsidR="00E00EE3" w:rsidRPr="000D1D1D">
        <w:rPr>
          <w:rFonts w:ascii="Times New Roman" w:eastAsia="Times New Roman" w:hAnsi="Times New Roman" w:cs="Times New Roman"/>
          <w:sz w:val="24"/>
          <w:szCs w:val="24"/>
          <w:lang w:eastAsia="en-MY"/>
        </w:rPr>
        <w:t xml:space="preserve"> structure. </w:t>
      </w:r>
    </w:p>
    <w:p w:rsidR="00E00EE3" w:rsidRPr="000D1D1D" w:rsidRDefault="00E00EE3" w:rsidP="00180AE6">
      <w:pPr>
        <w:ind w:firstLine="720"/>
        <w:jc w:val="both"/>
        <w:rPr>
          <w:rFonts w:ascii="Times New Roman" w:hAnsi="Times New Roman" w:cs="Times New Roman"/>
          <w:b/>
          <w:i/>
          <w:sz w:val="24"/>
          <w:szCs w:val="24"/>
        </w:rPr>
      </w:pPr>
      <w:r w:rsidRPr="000D1D1D">
        <w:rPr>
          <w:rFonts w:ascii="Times New Roman" w:eastAsia="Times New Roman" w:hAnsi="Times New Roman" w:cs="Times New Roman"/>
          <w:sz w:val="24"/>
          <w:szCs w:val="24"/>
          <w:lang w:eastAsia="en-MY"/>
        </w:rPr>
        <w:t>Lastly, the study proceeded with the Variance Decomposition (VDC)</w:t>
      </w:r>
      <w:r w:rsidR="00230B10" w:rsidRPr="000D1D1D">
        <w:rPr>
          <w:rFonts w:ascii="Times New Roman" w:eastAsia="Times New Roman" w:hAnsi="Times New Roman" w:cs="Times New Roman"/>
          <w:sz w:val="24"/>
          <w:szCs w:val="24"/>
          <w:lang w:eastAsia="en-MY"/>
        </w:rPr>
        <w:t xml:space="preserve"> and Impulse Response Function (IRF</w:t>
      </w:r>
      <w:proofErr w:type="gramStart"/>
      <w:r w:rsidR="00230B10" w:rsidRPr="000D1D1D">
        <w:rPr>
          <w:rFonts w:ascii="Times New Roman" w:eastAsia="Times New Roman" w:hAnsi="Times New Roman" w:cs="Times New Roman"/>
          <w:sz w:val="24"/>
          <w:szCs w:val="24"/>
          <w:lang w:eastAsia="en-MY"/>
        </w:rPr>
        <w:t xml:space="preserve">) </w:t>
      </w:r>
      <w:r w:rsidRPr="000D1D1D">
        <w:rPr>
          <w:rFonts w:ascii="Times New Roman" w:eastAsia="Times New Roman" w:hAnsi="Times New Roman" w:cs="Times New Roman"/>
          <w:sz w:val="24"/>
          <w:szCs w:val="24"/>
          <w:lang w:eastAsia="en-MY"/>
        </w:rPr>
        <w:t>.These</w:t>
      </w:r>
      <w:proofErr w:type="gramEnd"/>
      <w:r w:rsidRPr="000D1D1D">
        <w:rPr>
          <w:rFonts w:ascii="Times New Roman" w:eastAsia="Times New Roman" w:hAnsi="Times New Roman" w:cs="Times New Roman"/>
          <w:sz w:val="24"/>
          <w:szCs w:val="24"/>
          <w:lang w:eastAsia="en-MY"/>
        </w:rPr>
        <w:t xml:space="preserve"> analysis will shows the behaviour of a surprise to each variable on its own future dynamics and future dynamics of other explanatory variables in the system. The VDC is used to capture the percentage of unpredicted deviation in Real GDP accounted for by surprise in explanatory variables. On the other hand, IRF is used to identify the causal dynamic interaction among variables. To produce IRF graphical analysis, it is required to make sure the variables in the system are in order and that a moving average process represents the system. </w:t>
      </w:r>
    </w:p>
    <w:p w:rsidR="008746F6" w:rsidRPr="000D1D1D" w:rsidRDefault="00D46B5F" w:rsidP="008746F6">
      <w:pPr>
        <w:rPr>
          <w:rFonts w:ascii="Times New Roman" w:hAnsi="Times New Roman" w:cs="Times New Roman"/>
          <w:b/>
          <w:sz w:val="24"/>
          <w:szCs w:val="24"/>
        </w:rPr>
      </w:pPr>
      <w:r w:rsidRPr="000D1D1D">
        <w:rPr>
          <w:rFonts w:ascii="Times New Roman" w:hAnsi="Times New Roman" w:cs="Times New Roman"/>
          <w:b/>
          <w:sz w:val="24"/>
          <w:szCs w:val="24"/>
        </w:rPr>
        <w:t>EMPIRICAL FINDINGS</w:t>
      </w:r>
    </w:p>
    <w:p w:rsidR="00D46B5F" w:rsidRPr="000D1D1D" w:rsidRDefault="00D46B5F" w:rsidP="008746F6">
      <w:pPr>
        <w:rPr>
          <w:rFonts w:ascii="Times New Roman" w:hAnsi="Times New Roman" w:cs="Times New Roman"/>
          <w:b/>
          <w:sz w:val="24"/>
          <w:szCs w:val="24"/>
        </w:rPr>
      </w:pPr>
      <w:r w:rsidRPr="000D1D1D">
        <w:rPr>
          <w:rFonts w:ascii="Times New Roman" w:hAnsi="Times New Roman" w:cs="Times New Roman"/>
          <w:b/>
          <w:sz w:val="24"/>
          <w:szCs w:val="24"/>
        </w:rPr>
        <w:t>Unit Root Test</w:t>
      </w:r>
    </w:p>
    <w:p w:rsidR="000D1D1D" w:rsidRPr="000D1D1D" w:rsidRDefault="008176C5" w:rsidP="008176C5">
      <w:pPr>
        <w:jc w:val="both"/>
        <w:rPr>
          <w:rFonts w:ascii="Times New Roman" w:hAnsi="Times New Roman" w:cs="Times New Roman"/>
          <w:sz w:val="24"/>
          <w:szCs w:val="24"/>
        </w:rPr>
      </w:pPr>
      <w:r w:rsidRPr="000D1D1D">
        <w:rPr>
          <w:rFonts w:ascii="Times New Roman" w:hAnsi="Times New Roman" w:cs="Times New Roman"/>
          <w:sz w:val="24"/>
          <w:szCs w:val="24"/>
        </w:rPr>
        <w:t xml:space="preserve">In determining the variables stationarity, we applied the </w:t>
      </w:r>
      <w:r w:rsidR="00505733" w:rsidRPr="000D1D1D">
        <w:rPr>
          <w:rFonts w:ascii="Times New Roman" w:hAnsi="Times New Roman" w:cs="Times New Roman"/>
          <w:sz w:val="24"/>
          <w:szCs w:val="24"/>
        </w:rPr>
        <w:t xml:space="preserve">ADF </w:t>
      </w:r>
      <w:r w:rsidRPr="000D1D1D">
        <w:rPr>
          <w:rFonts w:ascii="Times New Roman" w:hAnsi="Times New Roman" w:cs="Times New Roman"/>
          <w:sz w:val="24"/>
          <w:szCs w:val="24"/>
        </w:rPr>
        <w:t xml:space="preserve">and </w:t>
      </w:r>
      <w:r w:rsidR="00505733" w:rsidRPr="000D1D1D">
        <w:rPr>
          <w:rFonts w:ascii="Times New Roman" w:hAnsi="Times New Roman" w:cs="Times New Roman"/>
          <w:sz w:val="24"/>
          <w:szCs w:val="24"/>
        </w:rPr>
        <w:t>PP</w:t>
      </w:r>
      <w:r w:rsidRPr="000D1D1D">
        <w:rPr>
          <w:rFonts w:ascii="Times New Roman" w:hAnsi="Times New Roman" w:cs="Times New Roman"/>
          <w:sz w:val="24"/>
          <w:szCs w:val="24"/>
        </w:rPr>
        <w:t xml:space="preserve"> tests for unit root tests. The aim for running these tests is to check whether the null hypothesis has a unit root against the alternatives that it does not. Both of these tests are conducted with trend and intercept</w:t>
      </w:r>
      <w:r w:rsidR="00320B80" w:rsidRPr="000D1D1D">
        <w:rPr>
          <w:rFonts w:ascii="Times New Roman" w:hAnsi="Times New Roman" w:cs="Times New Roman"/>
          <w:sz w:val="24"/>
          <w:szCs w:val="24"/>
        </w:rPr>
        <w:t xml:space="preserve"> </w:t>
      </w:r>
      <w:r w:rsidR="00505733" w:rsidRPr="000D1D1D">
        <w:rPr>
          <w:rFonts w:ascii="Times New Roman" w:hAnsi="Times New Roman" w:cs="Times New Roman"/>
          <w:sz w:val="24"/>
          <w:szCs w:val="24"/>
        </w:rPr>
        <w:t xml:space="preserve">Hassanudin et.al (2013). </w:t>
      </w:r>
      <w:r w:rsidRPr="000D1D1D">
        <w:rPr>
          <w:rFonts w:ascii="Times New Roman" w:hAnsi="Times New Roman" w:cs="Times New Roman"/>
          <w:sz w:val="24"/>
          <w:szCs w:val="24"/>
        </w:rPr>
        <w:t xml:space="preserve">In addition, Akaike Information Criterion (AIC) have been use to determine the optimal lags after testing for first and higher order serial correlation in the residuals. The investigation using the </w:t>
      </w:r>
      <w:r w:rsidR="00505733" w:rsidRPr="000D1D1D">
        <w:rPr>
          <w:rFonts w:ascii="Times New Roman" w:hAnsi="Times New Roman" w:cs="Times New Roman"/>
          <w:sz w:val="24"/>
          <w:szCs w:val="24"/>
        </w:rPr>
        <w:t>ADF</w:t>
      </w:r>
      <w:r w:rsidRPr="000D1D1D">
        <w:rPr>
          <w:rFonts w:ascii="Times New Roman" w:hAnsi="Times New Roman" w:cs="Times New Roman"/>
          <w:sz w:val="24"/>
          <w:szCs w:val="24"/>
        </w:rPr>
        <w:t xml:space="preserve"> and PP are shows that there are no variables having unit root at level. However, unit root is obtained when the first difference condition of all variables are conducted using the same ADF and PP test by comparing the level using 1%, 5% and 10% alpha val</w:t>
      </w:r>
      <w:r w:rsidR="001F7518" w:rsidRPr="000D1D1D">
        <w:rPr>
          <w:rFonts w:ascii="Times New Roman" w:hAnsi="Times New Roman" w:cs="Times New Roman"/>
          <w:sz w:val="24"/>
          <w:szCs w:val="24"/>
        </w:rPr>
        <w:t>ues (See Table 2</w:t>
      </w:r>
      <w:r w:rsidRPr="000D1D1D">
        <w:rPr>
          <w:rFonts w:ascii="Times New Roman" w:hAnsi="Times New Roman" w:cs="Times New Roman"/>
          <w:sz w:val="24"/>
          <w:szCs w:val="24"/>
        </w:rPr>
        <w:t>).</w:t>
      </w:r>
    </w:p>
    <w:p w:rsidR="008176C5" w:rsidRPr="000D1D1D" w:rsidRDefault="001F7518" w:rsidP="008176C5">
      <w:pPr>
        <w:jc w:val="center"/>
        <w:rPr>
          <w:rFonts w:ascii="Times New Roman" w:hAnsi="Times New Roman" w:cs="Times New Roman"/>
          <w:b/>
          <w:sz w:val="24"/>
          <w:szCs w:val="24"/>
          <w:lang w:val="en-US"/>
        </w:rPr>
      </w:pPr>
      <w:r w:rsidRPr="000D1D1D">
        <w:rPr>
          <w:rFonts w:ascii="Times New Roman" w:hAnsi="Times New Roman" w:cs="Times New Roman"/>
          <w:b/>
          <w:sz w:val="24"/>
          <w:szCs w:val="24"/>
          <w:lang w:val="en-US"/>
        </w:rPr>
        <w:t>Table 2</w:t>
      </w:r>
      <w:r w:rsidR="008176C5" w:rsidRPr="000D1D1D">
        <w:rPr>
          <w:rFonts w:ascii="Times New Roman" w:hAnsi="Times New Roman" w:cs="Times New Roman"/>
          <w:b/>
          <w:sz w:val="24"/>
          <w:szCs w:val="24"/>
          <w:lang w:val="en-US"/>
        </w:rPr>
        <w:t>: Unit Root Test</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674"/>
        <w:gridCol w:w="1839"/>
        <w:gridCol w:w="1818"/>
        <w:gridCol w:w="2040"/>
      </w:tblGrid>
      <w:tr w:rsidR="008176C5" w:rsidRPr="000D1D1D" w:rsidTr="00BE3CDB">
        <w:tc>
          <w:tcPr>
            <w:tcW w:w="2093" w:type="dxa"/>
            <w:vMerge w:val="restart"/>
            <w:tcBorders>
              <w:top w:val="single" w:sz="4" w:space="0" w:color="auto"/>
            </w:tcBorders>
          </w:tcPr>
          <w:p w:rsidR="008176C5" w:rsidRPr="000D1D1D" w:rsidRDefault="008176C5" w:rsidP="00BE3CDB">
            <w:pPr>
              <w:pStyle w:val="NoSpacing"/>
              <w:rPr>
                <w:rFonts w:ascii="Times New Roman" w:hAnsi="Times New Roman" w:cs="Times New Roman"/>
                <w:sz w:val="24"/>
                <w:szCs w:val="24"/>
                <w:lang w:val="en-US"/>
              </w:rPr>
            </w:pPr>
            <w:r w:rsidRPr="000D1D1D">
              <w:rPr>
                <w:rFonts w:ascii="Times New Roman" w:hAnsi="Times New Roman" w:cs="Times New Roman"/>
                <w:sz w:val="24"/>
                <w:szCs w:val="24"/>
                <w:lang w:val="en-US"/>
              </w:rPr>
              <w:t>Variables</w:t>
            </w:r>
          </w:p>
        </w:tc>
        <w:tc>
          <w:tcPr>
            <w:tcW w:w="3513" w:type="dxa"/>
            <w:gridSpan w:val="2"/>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Level</w:t>
            </w:r>
          </w:p>
        </w:tc>
        <w:tc>
          <w:tcPr>
            <w:tcW w:w="3858" w:type="dxa"/>
            <w:gridSpan w:val="2"/>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First Difference</w:t>
            </w:r>
          </w:p>
        </w:tc>
      </w:tr>
      <w:tr w:rsidR="008176C5" w:rsidRPr="000D1D1D" w:rsidTr="00BE3CDB">
        <w:tc>
          <w:tcPr>
            <w:tcW w:w="2093" w:type="dxa"/>
            <w:vMerge/>
          </w:tcPr>
          <w:p w:rsidR="008176C5" w:rsidRPr="000D1D1D" w:rsidRDefault="008176C5" w:rsidP="00BE3CDB">
            <w:pPr>
              <w:pStyle w:val="NoSpacing"/>
              <w:rPr>
                <w:rFonts w:ascii="Times New Roman" w:hAnsi="Times New Roman" w:cs="Times New Roman"/>
                <w:sz w:val="24"/>
                <w:szCs w:val="24"/>
                <w:lang w:val="en-US"/>
              </w:rPr>
            </w:pPr>
          </w:p>
        </w:tc>
        <w:tc>
          <w:tcPr>
            <w:tcW w:w="1674" w:type="dxa"/>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ADF</w:t>
            </w:r>
          </w:p>
        </w:tc>
        <w:tc>
          <w:tcPr>
            <w:tcW w:w="1839" w:type="dxa"/>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PP</w:t>
            </w:r>
          </w:p>
        </w:tc>
        <w:tc>
          <w:tcPr>
            <w:tcW w:w="1818" w:type="dxa"/>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ADF</w:t>
            </w:r>
          </w:p>
        </w:tc>
        <w:tc>
          <w:tcPr>
            <w:tcW w:w="2040" w:type="dxa"/>
            <w:tcBorders>
              <w:top w:val="single" w:sz="4" w:space="0" w:color="auto"/>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PP</w:t>
            </w:r>
          </w:p>
        </w:tc>
      </w:tr>
      <w:tr w:rsidR="008176C5" w:rsidRPr="000D1D1D" w:rsidTr="00BE3CDB">
        <w:tc>
          <w:tcPr>
            <w:tcW w:w="2093" w:type="dxa"/>
          </w:tcPr>
          <w:p w:rsidR="008176C5" w:rsidRPr="000D1D1D" w:rsidRDefault="008176C5" w:rsidP="00BE3CDB">
            <w:pPr>
              <w:pStyle w:val="NoSpacing"/>
              <w:rPr>
                <w:rFonts w:ascii="Times New Roman" w:hAnsi="Times New Roman" w:cs="Times New Roman"/>
                <w:color w:val="000000"/>
                <w:sz w:val="24"/>
                <w:szCs w:val="24"/>
                <w:lang w:val="en-US"/>
              </w:rPr>
            </w:pPr>
            <w:r w:rsidRPr="000D1D1D">
              <w:rPr>
                <w:rFonts w:ascii="Times New Roman" w:hAnsi="Times New Roman" w:cs="Times New Roman"/>
                <w:color w:val="000000"/>
                <w:sz w:val="24"/>
                <w:szCs w:val="24"/>
              </w:rPr>
              <w:t>LNRGDP</w:t>
            </w:r>
          </w:p>
        </w:tc>
        <w:tc>
          <w:tcPr>
            <w:tcW w:w="1674" w:type="dxa"/>
            <w:tcBorders>
              <w:top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-1.457188</w:t>
            </w:r>
          </w:p>
        </w:tc>
        <w:tc>
          <w:tcPr>
            <w:tcW w:w="1839" w:type="dxa"/>
            <w:tcBorders>
              <w:top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-1.454704</w:t>
            </w:r>
          </w:p>
        </w:tc>
        <w:tc>
          <w:tcPr>
            <w:tcW w:w="1818" w:type="dxa"/>
            <w:tcBorders>
              <w:top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-4.950391*</w:t>
            </w:r>
          </w:p>
        </w:tc>
        <w:tc>
          <w:tcPr>
            <w:tcW w:w="2040" w:type="dxa"/>
            <w:tcBorders>
              <w:top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-5.039506*</w:t>
            </w:r>
          </w:p>
        </w:tc>
      </w:tr>
      <w:tr w:rsidR="008176C5" w:rsidRPr="000D1D1D" w:rsidTr="00BE3CDB">
        <w:tc>
          <w:tcPr>
            <w:tcW w:w="2093" w:type="dxa"/>
          </w:tcPr>
          <w:p w:rsidR="008176C5" w:rsidRPr="000D1D1D" w:rsidRDefault="008176C5" w:rsidP="00BE3CDB">
            <w:pPr>
              <w:pStyle w:val="NoSpacing"/>
              <w:rPr>
                <w:rFonts w:ascii="Times New Roman" w:hAnsi="Times New Roman" w:cs="Times New Roman"/>
                <w:color w:val="000000"/>
                <w:sz w:val="24"/>
                <w:szCs w:val="24"/>
                <w:lang w:val="en-US"/>
              </w:rPr>
            </w:pPr>
            <w:r w:rsidRPr="000D1D1D">
              <w:rPr>
                <w:rFonts w:ascii="Times New Roman" w:hAnsi="Times New Roman" w:cs="Times New Roman"/>
                <w:color w:val="000000"/>
                <w:sz w:val="24"/>
                <w:szCs w:val="24"/>
              </w:rPr>
              <w:t>LNTA</w:t>
            </w:r>
          </w:p>
        </w:tc>
        <w:tc>
          <w:tcPr>
            <w:tcW w:w="1674"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-3.183900</w:t>
            </w:r>
          </w:p>
        </w:tc>
        <w:tc>
          <w:tcPr>
            <w:tcW w:w="1839"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-3.205909</w:t>
            </w:r>
          </w:p>
        </w:tc>
        <w:tc>
          <w:tcPr>
            <w:tcW w:w="1818"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-6.270959*</w:t>
            </w:r>
          </w:p>
        </w:tc>
        <w:tc>
          <w:tcPr>
            <w:tcW w:w="2040"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-6.630295*</w:t>
            </w:r>
          </w:p>
        </w:tc>
      </w:tr>
      <w:tr w:rsidR="008176C5" w:rsidRPr="000D1D1D" w:rsidTr="00BE3CDB">
        <w:tc>
          <w:tcPr>
            <w:tcW w:w="2093" w:type="dxa"/>
          </w:tcPr>
          <w:p w:rsidR="008176C5" w:rsidRPr="000D1D1D" w:rsidRDefault="008176C5" w:rsidP="00BE3CDB">
            <w:pPr>
              <w:pStyle w:val="NoSpacing"/>
              <w:rPr>
                <w:rFonts w:ascii="Times New Roman" w:hAnsi="Times New Roman" w:cs="Times New Roman"/>
                <w:color w:val="000000"/>
                <w:sz w:val="24"/>
                <w:szCs w:val="24"/>
                <w:lang w:val="en-US"/>
              </w:rPr>
            </w:pPr>
            <w:r w:rsidRPr="000D1D1D">
              <w:rPr>
                <w:rFonts w:ascii="Times New Roman" w:hAnsi="Times New Roman" w:cs="Times New Roman"/>
                <w:color w:val="000000"/>
                <w:sz w:val="24"/>
                <w:szCs w:val="24"/>
              </w:rPr>
              <w:t>LNTFIB</w:t>
            </w:r>
          </w:p>
        </w:tc>
        <w:tc>
          <w:tcPr>
            <w:tcW w:w="1674"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-2.366603</w:t>
            </w:r>
          </w:p>
        </w:tc>
        <w:tc>
          <w:tcPr>
            <w:tcW w:w="1839"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-2.004564</w:t>
            </w:r>
          </w:p>
        </w:tc>
        <w:tc>
          <w:tcPr>
            <w:tcW w:w="1818"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-3.487276***</w:t>
            </w:r>
          </w:p>
        </w:tc>
        <w:tc>
          <w:tcPr>
            <w:tcW w:w="2040"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-3.371155***</w:t>
            </w:r>
          </w:p>
        </w:tc>
      </w:tr>
      <w:tr w:rsidR="008176C5" w:rsidRPr="000D1D1D" w:rsidTr="00AE54B2">
        <w:trPr>
          <w:trHeight w:val="77"/>
        </w:trPr>
        <w:tc>
          <w:tcPr>
            <w:tcW w:w="2093" w:type="dxa"/>
          </w:tcPr>
          <w:p w:rsidR="008176C5" w:rsidRPr="000D1D1D" w:rsidRDefault="008176C5" w:rsidP="00BE3CDB">
            <w:pPr>
              <w:pStyle w:val="NoSpacing"/>
              <w:rPr>
                <w:rFonts w:ascii="Times New Roman" w:hAnsi="Times New Roman" w:cs="Times New Roman"/>
                <w:color w:val="000000"/>
                <w:sz w:val="24"/>
                <w:szCs w:val="24"/>
                <w:lang w:val="en-US"/>
              </w:rPr>
            </w:pPr>
            <w:r w:rsidRPr="000D1D1D">
              <w:rPr>
                <w:rFonts w:ascii="Times New Roman" w:hAnsi="Times New Roman" w:cs="Times New Roman"/>
                <w:color w:val="000000"/>
                <w:sz w:val="24"/>
                <w:szCs w:val="24"/>
              </w:rPr>
              <w:t>LNTDIB</w:t>
            </w:r>
          </w:p>
        </w:tc>
        <w:tc>
          <w:tcPr>
            <w:tcW w:w="1674"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-2.348313</w:t>
            </w:r>
          </w:p>
        </w:tc>
        <w:tc>
          <w:tcPr>
            <w:tcW w:w="1839"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-1.964474</w:t>
            </w:r>
          </w:p>
        </w:tc>
        <w:tc>
          <w:tcPr>
            <w:tcW w:w="1818"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-5.076760*</w:t>
            </w:r>
          </w:p>
        </w:tc>
        <w:tc>
          <w:tcPr>
            <w:tcW w:w="2040" w:type="dxa"/>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-18.97324*</w:t>
            </w:r>
          </w:p>
        </w:tc>
      </w:tr>
      <w:tr w:rsidR="008176C5" w:rsidRPr="000D1D1D" w:rsidTr="00AE54B2">
        <w:tc>
          <w:tcPr>
            <w:tcW w:w="2093" w:type="dxa"/>
            <w:tcBorders>
              <w:bottom w:val="single" w:sz="4" w:space="0" w:color="auto"/>
            </w:tcBorders>
          </w:tcPr>
          <w:p w:rsidR="008176C5" w:rsidRPr="000D1D1D" w:rsidRDefault="008176C5" w:rsidP="00BE3CDB">
            <w:pPr>
              <w:pStyle w:val="NoSpacing"/>
              <w:rPr>
                <w:rFonts w:ascii="Times New Roman" w:hAnsi="Times New Roman" w:cs="Times New Roman"/>
                <w:color w:val="000000"/>
                <w:sz w:val="24"/>
                <w:szCs w:val="24"/>
                <w:lang w:val="en-US"/>
              </w:rPr>
            </w:pPr>
            <w:r w:rsidRPr="000D1D1D">
              <w:rPr>
                <w:rFonts w:ascii="Times New Roman" w:hAnsi="Times New Roman" w:cs="Times New Roman"/>
                <w:color w:val="000000"/>
                <w:sz w:val="24"/>
                <w:szCs w:val="24"/>
              </w:rPr>
              <w:t>LNNPL</w:t>
            </w:r>
          </w:p>
        </w:tc>
        <w:tc>
          <w:tcPr>
            <w:tcW w:w="1674" w:type="dxa"/>
            <w:tcBorders>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-2.092265</w:t>
            </w:r>
          </w:p>
        </w:tc>
        <w:tc>
          <w:tcPr>
            <w:tcW w:w="1839" w:type="dxa"/>
            <w:tcBorders>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-1.216636</w:t>
            </w:r>
          </w:p>
        </w:tc>
        <w:tc>
          <w:tcPr>
            <w:tcW w:w="1818" w:type="dxa"/>
            <w:tcBorders>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-1.052821*</w:t>
            </w:r>
          </w:p>
        </w:tc>
        <w:tc>
          <w:tcPr>
            <w:tcW w:w="2040" w:type="dxa"/>
            <w:tcBorders>
              <w:bottom w:val="single" w:sz="4" w:space="0" w:color="auto"/>
            </w:tcBorders>
          </w:tcPr>
          <w:p w:rsidR="008176C5" w:rsidRPr="000D1D1D" w:rsidRDefault="008176C5" w:rsidP="00BE3CDB">
            <w:pPr>
              <w:pStyle w:val="NoSpacing"/>
              <w:jc w:val="center"/>
              <w:rPr>
                <w:rFonts w:ascii="Times New Roman" w:hAnsi="Times New Roman" w:cs="Times New Roman"/>
                <w:sz w:val="24"/>
                <w:szCs w:val="24"/>
                <w:lang w:val="en-US"/>
              </w:rPr>
            </w:pPr>
            <w:r w:rsidRPr="000D1D1D">
              <w:rPr>
                <w:rFonts w:ascii="Times New Roman" w:hAnsi="Times New Roman" w:cs="Times New Roman"/>
                <w:sz w:val="24"/>
                <w:szCs w:val="24"/>
                <w:lang w:val="en-US"/>
              </w:rPr>
              <w:t>-5.248880*</w:t>
            </w:r>
          </w:p>
        </w:tc>
      </w:tr>
    </w:tbl>
    <w:p w:rsidR="008176C5" w:rsidRPr="006C5ADF" w:rsidRDefault="008176C5" w:rsidP="008176C5">
      <w:pPr>
        <w:rPr>
          <w:rFonts w:ascii="Times New Roman" w:hAnsi="Times New Roman" w:cs="Times New Roman"/>
          <w:sz w:val="16"/>
          <w:szCs w:val="16"/>
          <w:lang w:val="en-US"/>
        </w:rPr>
      </w:pPr>
      <w:r w:rsidRPr="006C5ADF">
        <w:rPr>
          <w:rFonts w:ascii="Times New Roman" w:hAnsi="Times New Roman" w:cs="Times New Roman"/>
          <w:sz w:val="16"/>
          <w:szCs w:val="16"/>
          <w:lang w:val="en-US"/>
        </w:rPr>
        <w:t>Note: Values based on MacKinnon (1996) one sided p-values. The value in parenthesis refers to t-statistic. *, **, *** indicates significance at 10%, 5% and 1%.</w:t>
      </w:r>
    </w:p>
    <w:p w:rsidR="008746F6" w:rsidRPr="000D1D1D" w:rsidRDefault="00D46B5F">
      <w:pPr>
        <w:rPr>
          <w:rFonts w:ascii="Times New Roman" w:hAnsi="Times New Roman" w:cs="Times New Roman"/>
          <w:b/>
          <w:sz w:val="24"/>
          <w:szCs w:val="24"/>
        </w:rPr>
      </w:pPr>
      <w:r w:rsidRPr="000D1D1D">
        <w:rPr>
          <w:rFonts w:ascii="Times New Roman" w:hAnsi="Times New Roman" w:cs="Times New Roman"/>
          <w:b/>
          <w:sz w:val="24"/>
          <w:szCs w:val="24"/>
        </w:rPr>
        <w:t>Cointegration Test</w:t>
      </w:r>
    </w:p>
    <w:p w:rsidR="00D46B5F" w:rsidRPr="000D1D1D" w:rsidRDefault="00D46B5F" w:rsidP="00D46B5F">
      <w:pPr>
        <w:jc w:val="both"/>
        <w:rPr>
          <w:rFonts w:ascii="Times New Roman" w:hAnsi="Times New Roman" w:cs="Times New Roman"/>
          <w:sz w:val="24"/>
          <w:szCs w:val="24"/>
        </w:rPr>
      </w:pPr>
      <w:r w:rsidRPr="000D1D1D">
        <w:rPr>
          <w:rFonts w:ascii="Times New Roman" w:hAnsi="Times New Roman" w:cs="Times New Roman"/>
          <w:sz w:val="24"/>
          <w:szCs w:val="24"/>
        </w:rPr>
        <w:t xml:space="preserve">A set of variables will be cointegrated if a linear combination among the variables is stationary even though the variables are not stationary individually. If there </w:t>
      </w:r>
      <w:r w:rsidR="006C5ADF" w:rsidRPr="000D1D1D">
        <w:rPr>
          <w:rFonts w:ascii="Times New Roman" w:hAnsi="Times New Roman" w:cs="Times New Roman"/>
          <w:sz w:val="24"/>
          <w:szCs w:val="24"/>
        </w:rPr>
        <w:t xml:space="preserve">is evidence of </w:t>
      </w:r>
      <w:r w:rsidRPr="000D1D1D">
        <w:rPr>
          <w:rFonts w:ascii="Times New Roman" w:hAnsi="Times New Roman" w:cs="Times New Roman"/>
          <w:sz w:val="24"/>
          <w:szCs w:val="24"/>
        </w:rPr>
        <w:t>cointegration, then there will b</w:t>
      </w:r>
      <w:r w:rsidR="00505733" w:rsidRPr="000D1D1D">
        <w:rPr>
          <w:rFonts w:ascii="Times New Roman" w:hAnsi="Times New Roman" w:cs="Times New Roman"/>
          <w:sz w:val="24"/>
          <w:szCs w:val="24"/>
        </w:rPr>
        <w:t>e long</w:t>
      </w:r>
      <w:r w:rsidR="007E39F5" w:rsidRPr="000D1D1D">
        <w:rPr>
          <w:rFonts w:ascii="Times New Roman" w:hAnsi="Times New Roman" w:cs="Times New Roman"/>
          <w:sz w:val="24"/>
          <w:szCs w:val="24"/>
        </w:rPr>
        <w:t>–</w:t>
      </w:r>
      <w:r w:rsidRPr="000D1D1D">
        <w:rPr>
          <w:rFonts w:ascii="Times New Roman" w:hAnsi="Times New Roman" w:cs="Times New Roman"/>
          <w:sz w:val="24"/>
          <w:szCs w:val="24"/>
        </w:rPr>
        <w:t xml:space="preserve">run equilibrium among the variables (Hassanudin et.al 2013). In this study, by employing the Johansen and Juselius Cointegration Test, we compare the value of </w:t>
      </w:r>
      <w:r w:rsidRPr="000D1D1D">
        <w:rPr>
          <w:rFonts w:ascii="Times New Roman" w:hAnsi="Times New Roman" w:cs="Times New Roman"/>
          <w:sz w:val="24"/>
          <w:szCs w:val="24"/>
        </w:rPr>
        <w:lastRenderedPageBreak/>
        <w:t>the Likelihood Trace Statistic (LTS) and Max – Eigen statistic (ME) with the 5% critical value and it was found that there exists only one cointegrat</w:t>
      </w:r>
      <w:r w:rsidR="001F7518" w:rsidRPr="000D1D1D">
        <w:rPr>
          <w:rFonts w:ascii="Times New Roman" w:hAnsi="Times New Roman" w:cs="Times New Roman"/>
          <w:sz w:val="24"/>
          <w:szCs w:val="24"/>
        </w:rPr>
        <w:t>ion in the long run (see Table 3</w:t>
      </w:r>
      <w:r w:rsidR="00505733" w:rsidRPr="000D1D1D">
        <w:rPr>
          <w:rFonts w:ascii="Times New Roman" w:hAnsi="Times New Roman" w:cs="Times New Roman"/>
          <w:sz w:val="24"/>
          <w:szCs w:val="24"/>
        </w:rPr>
        <w:t>). Therefore, there is a long-</w:t>
      </w:r>
      <w:r w:rsidRPr="000D1D1D">
        <w:rPr>
          <w:rFonts w:ascii="Times New Roman" w:hAnsi="Times New Roman" w:cs="Times New Roman"/>
          <w:sz w:val="24"/>
          <w:szCs w:val="24"/>
        </w:rPr>
        <w:t>run unique cointegrating vector governing the long run relationship among the variables. It means that there is a one cointegrating l</w:t>
      </w:r>
      <w:r w:rsidR="00505733" w:rsidRPr="000D1D1D">
        <w:rPr>
          <w:rFonts w:ascii="Times New Roman" w:hAnsi="Times New Roman" w:cs="Times New Roman"/>
          <w:sz w:val="24"/>
          <w:szCs w:val="24"/>
        </w:rPr>
        <w:t>ong</w:t>
      </w:r>
      <w:r w:rsidR="007E39F5" w:rsidRPr="000D1D1D">
        <w:rPr>
          <w:rFonts w:ascii="Times New Roman" w:hAnsi="Times New Roman" w:cs="Times New Roman"/>
          <w:sz w:val="24"/>
          <w:szCs w:val="24"/>
        </w:rPr>
        <w:t>–</w:t>
      </w:r>
      <w:r w:rsidRPr="000D1D1D">
        <w:rPr>
          <w:rFonts w:ascii="Times New Roman" w:hAnsi="Times New Roman" w:cs="Times New Roman"/>
          <w:sz w:val="24"/>
          <w:szCs w:val="24"/>
        </w:rPr>
        <w:t>run association among Real GDP, Islamic bank Total Deposit, Islamic bank Total Financing</w:t>
      </w:r>
      <w:r w:rsidR="008176C5" w:rsidRPr="000D1D1D">
        <w:rPr>
          <w:rFonts w:ascii="Times New Roman" w:hAnsi="Times New Roman" w:cs="Times New Roman"/>
          <w:sz w:val="24"/>
          <w:szCs w:val="24"/>
        </w:rPr>
        <w:t>, Total</w:t>
      </w:r>
      <w:r w:rsidRPr="000D1D1D">
        <w:rPr>
          <w:rFonts w:ascii="Times New Roman" w:hAnsi="Times New Roman" w:cs="Times New Roman"/>
          <w:sz w:val="24"/>
          <w:szCs w:val="24"/>
        </w:rPr>
        <w:t xml:space="preserve"> Assets of Islamic bank and Non</w:t>
      </w:r>
      <w:r w:rsidR="008176C5" w:rsidRPr="000D1D1D">
        <w:rPr>
          <w:rFonts w:ascii="Times New Roman" w:hAnsi="Times New Roman" w:cs="Times New Roman"/>
          <w:sz w:val="24"/>
          <w:szCs w:val="24"/>
        </w:rPr>
        <w:t xml:space="preserve"> </w:t>
      </w:r>
      <w:r w:rsidR="007E39F5" w:rsidRPr="000D1D1D">
        <w:rPr>
          <w:rFonts w:ascii="Times New Roman" w:hAnsi="Times New Roman" w:cs="Times New Roman"/>
          <w:sz w:val="24"/>
          <w:szCs w:val="24"/>
        </w:rPr>
        <w:t>–</w:t>
      </w:r>
      <w:r w:rsidR="008176C5" w:rsidRPr="000D1D1D">
        <w:rPr>
          <w:rFonts w:ascii="Times New Roman" w:hAnsi="Times New Roman" w:cs="Times New Roman"/>
          <w:sz w:val="24"/>
          <w:szCs w:val="24"/>
        </w:rPr>
        <w:t xml:space="preserve"> </w:t>
      </w:r>
      <w:r w:rsidRPr="000D1D1D">
        <w:rPr>
          <w:rFonts w:ascii="Times New Roman" w:hAnsi="Times New Roman" w:cs="Times New Roman"/>
          <w:sz w:val="24"/>
          <w:szCs w:val="24"/>
        </w:rPr>
        <w:t xml:space="preserve">performing loan of Islamic bank. </w:t>
      </w:r>
    </w:p>
    <w:p w:rsidR="00D46B5F" w:rsidRPr="000D1D1D" w:rsidRDefault="001F7518" w:rsidP="00D46B5F">
      <w:pPr>
        <w:jc w:val="center"/>
        <w:rPr>
          <w:rFonts w:ascii="Times New Roman" w:hAnsi="Times New Roman" w:cs="Times New Roman"/>
          <w:b/>
          <w:sz w:val="24"/>
          <w:szCs w:val="24"/>
        </w:rPr>
      </w:pPr>
      <w:r w:rsidRPr="000D1D1D">
        <w:rPr>
          <w:rFonts w:ascii="Times New Roman" w:hAnsi="Times New Roman" w:cs="Times New Roman"/>
          <w:b/>
          <w:sz w:val="24"/>
          <w:szCs w:val="24"/>
        </w:rPr>
        <w:t>Table 3</w:t>
      </w:r>
      <w:r w:rsidR="00C43601" w:rsidRPr="000D1D1D">
        <w:rPr>
          <w:rFonts w:ascii="Times New Roman" w:hAnsi="Times New Roman" w:cs="Times New Roman"/>
          <w:b/>
          <w:sz w:val="24"/>
          <w:szCs w:val="24"/>
        </w:rPr>
        <w:t>: Johansen-Juselius Cointegration Tests</w:t>
      </w:r>
    </w:p>
    <w:tbl>
      <w:tblPr>
        <w:tblW w:w="8568" w:type="dxa"/>
        <w:jc w:val="center"/>
        <w:tblLook w:val="01E0" w:firstRow="1" w:lastRow="1" w:firstColumn="1" w:lastColumn="1" w:noHBand="0" w:noVBand="0"/>
      </w:tblPr>
      <w:tblGrid>
        <w:gridCol w:w="1800"/>
        <w:gridCol w:w="1454"/>
        <w:gridCol w:w="1771"/>
        <w:gridCol w:w="1771"/>
        <w:gridCol w:w="1772"/>
      </w:tblGrid>
      <w:tr w:rsidR="00D46B5F" w:rsidRPr="000D1D1D" w:rsidTr="00BE3CDB">
        <w:trPr>
          <w:jc w:val="center"/>
        </w:trPr>
        <w:tc>
          <w:tcPr>
            <w:tcW w:w="1800" w:type="dxa"/>
            <w:tcBorders>
              <w:top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Hypothesized</w:t>
            </w:r>
          </w:p>
        </w:tc>
        <w:tc>
          <w:tcPr>
            <w:tcW w:w="1454" w:type="dxa"/>
            <w:tcBorders>
              <w:top w:val="single" w:sz="4" w:space="0" w:color="auto"/>
              <w:left w:val="nil"/>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Trace</w:t>
            </w:r>
          </w:p>
        </w:tc>
        <w:tc>
          <w:tcPr>
            <w:tcW w:w="1771" w:type="dxa"/>
            <w:tcBorders>
              <w:top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Max-Eigen</w:t>
            </w:r>
          </w:p>
        </w:tc>
        <w:tc>
          <w:tcPr>
            <w:tcW w:w="3543" w:type="dxa"/>
            <w:gridSpan w:val="2"/>
            <w:tcBorders>
              <w:top w:val="single" w:sz="4" w:space="0" w:color="auto"/>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Critical Values (5%)</w:t>
            </w:r>
          </w:p>
        </w:tc>
      </w:tr>
      <w:tr w:rsidR="00D46B5F" w:rsidRPr="000D1D1D" w:rsidTr="00BE3CDB">
        <w:trPr>
          <w:jc w:val="center"/>
        </w:trPr>
        <w:tc>
          <w:tcPr>
            <w:tcW w:w="1800"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No. of CE(s)</w:t>
            </w:r>
          </w:p>
        </w:tc>
        <w:tc>
          <w:tcPr>
            <w:tcW w:w="1454" w:type="dxa"/>
            <w:tcBorders>
              <w:left w:val="nil"/>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Statistic</w:t>
            </w:r>
          </w:p>
        </w:tc>
        <w:tc>
          <w:tcPr>
            <w:tcW w:w="1771"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Statistic</w:t>
            </w:r>
          </w:p>
        </w:tc>
        <w:tc>
          <w:tcPr>
            <w:tcW w:w="1771" w:type="dxa"/>
            <w:tcBorders>
              <w:top w:val="single" w:sz="4" w:space="0" w:color="auto"/>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Trace</w:t>
            </w:r>
          </w:p>
        </w:tc>
        <w:tc>
          <w:tcPr>
            <w:tcW w:w="1772" w:type="dxa"/>
            <w:tcBorders>
              <w:top w:val="single" w:sz="4" w:space="0" w:color="auto"/>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Max-Eigen</w:t>
            </w:r>
          </w:p>
        </w:tc>
      </w:tr>
      <w:tr w:rsidR="00D46B5F" w:rsidRPr="000D1D1D" w:rsidTr="00BE3CDB">
        <w:trPr>
          <w:jc w:val="center"/>
        </w:trPr>
        <w:tc>
          <w:tcPr>
            <w:tcW w:w="1800"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r = 0</w:t>
            </w:r>
          </w:p>
        </w:tc>
        <w:tc>
          <w:tcPr>
            <w:tcW w:w="1454"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 xml:space="preserve">   78.3385**</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 xml:space="preserve">    37.3577**</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69.8188</w:t>
            </w:r>
          </w:p>
        </w:tc>
        <w:tc>
          <w:tcPr>
            <w:tcW w:w="1772"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33.8768</w:t>
            </w:r>
          </w:p>
        </w:tc>
      </w:tr>
      <w:tr w:rsidR="00D46B5F" w:rsidRPr="000D1D1D" w:rsidTr="00BE3CDB">
        <w:trPr>
          <w:jc w:val="center"/>
        </w:trPr>
        <w:tc>
          <w:tcPr>
            <w:tcW w:w="1800"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r ≤ 1</w:t>
            </w:r>
          </w:p>
        </w:tc>
        <w:tc>
          <w:tcPr>
            <w:tcW w:w="1454" w:type="dxa"/>
          </w:tcPr>
          <w:p w:rsidR="00D46B5F" w:rsidRPr="000D1D1D" w:rsidRDefault="00D46B5F" w:rsidP="00BE3CDB">
            <w:pPr>
              <w:pStyle w:val="NoSpacing"/>
              <w:rPr>
                <w:rFonts w:ascii="Times New Roman" w:hAnsi="Times New Roman" w:cs="Times New Roman"/>
                <w:sz w:val="24"/>
                <w:szCs w:val="24"/>
              </w:rPr>
            </w:pPr>
            <w:r w:rsidRPr="000D1D1D">
              <w:rPr>
                <w:rFonts w:ascii="Times New Roman" w:hAnsi="Times New Roman" w:cs="Times New Roman"/>
                <w:sz w:val="24"/>
                <w:szCs w:val="24"/>
              </w:rPr>
              <w:t xml:space="preserve">   40.9807</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20.4142</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47.8561</w:t>
            </w:r>
          </w:p>
        </w:tc>
        <w:tc>
          <w:tcPr>
            <w:tcW w:w="1772"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20.4142</w:t>
            </w:r>
          </w:p>
        </w:tc>
      </w:tr>
      <w:tr w:rsidR="00D46B5F" w:rsidRPr="000D1D1D" w:rsidTr="00BE3CDB">
        <w:trPr>
          <w:jc w:val="center"/>
        </w:trPr>
        <w:tc>
          <w:tcPr>
            <w:tcW w:w="1800"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r ≤ 2</w:t>
            </w:r>
          </w:p>
        </w:tc>
        <w:tc>
          <w:tcPr>
            <w:tcW w:w="1454" w:type="dxa"/>
          </w:tcPr>
          <w:p w:rsidR="00D46B5F" w:rsidRPr="000D1D1D" w:rsidRDefault="00D46B5F" w:rsidP="00BE3CDB">
            <w:pPr>
              <w:pStyle w:val="NoSpacing"/>
              <w:rPr>
                <w:rFonts w:ascii="Times New Roman" w:hAnsi="Times New Roman" w:cs="Times New Roman"/>
                <w:sz w:val="24"/>
                <w:szCs w:val="24"/>
              </w:rPr>
            </w:pPr>
            <w:r w:rsidRPr="000D1D1D">
              <w:rPr>
                <w:rFonts w:ascii="Times New Roman" w:hAnsi="Times New Roman" w:cs="Times New Roman"/>
                <w:sz w:val="24"/>
                <w:szCs w:val="24"/>
              </w:rPr>
              <w:t xml:space="preserve">   20.5665</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10.7382</w:t>
            </w:r>
          </w:p>
        </w:tc>
        <w:tc>
          <w:tcPr>
            <w:tcW w:w="1771"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29.7970</w:t>
            </w:r>
          </w:p>
        </w:tc>
        <w:tc>
          <w:tcPr>
            <w:tcW w:w="1772" w:type="dxa"/>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10.7382</w:t>
            </w:r>
          </w:p>
        </w:tc>
      </w:tr>
      <w:tr w:rsidR="00D46B5F" w:rsidRPr="000D1D1D" w:rsidTr="00BE3CDB">
        <w:trPr>
          <w:jc w:val="center"/>
        </w:trPr>
        <w:tc>
          <w:tcPr>
            <w:tcW w:w="1800"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r ≤ 3</w:t>
            </w:r>
          </w:p>
        </w:tc>
        <w:tc>
          <w:tcPr>
            <w:tcW w:w="1454" w:type="dxa"/>
            <w:tcBorders>
              <w:bottom w:val="single" w:sz="4" w:space="0" w:color="auto"/>
            </w:tcBorders>
          </w:tcPr>
          <w:p w:rsidR="00D46B5F" w:rsidRPr="000D1D1D" w:rsidRDefault="00D46B5F" w:rsidP="00BE3CDB">
            <w:pPr>
              <w:pStyle w:val="NoSpacing"/>
              <w:rPr>
                <w:rFonts w:ascii="Times New Roman" w:hAnsi="Times New Roman" w:cs="Times New Roman"/>
                <w:sz w:val="24"/>
                <w:szCs w:val="24"/>
              </w:rPr>
            </w:pPr>
            <w:r w:rsidRPr="000D1D1D">
              <w:rPr>
                <w:rFonts w:ascii="Times New Roman" w:hAnsi="Times New Roman" w:cs="Times New Roman"/>
                <w:sz w:val="24"/>
                <w:szCs w:val="24"/>
              </w:rPr>
              <w:t xml:space="preserve">   9.82828</w:t>
            </w:r>
          </w:p>
        </w:tc>
        <w:tc>
          <w:tcPr>
            <w:tcW w:w="1771"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8.08198</w:t>
            </w:r>
          </w:p>
        </w:tc>
        <w:tc>
          <w:tcPr>
            <w:tcW w:w="1771"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15.4947</w:t>
            </w:r>
          </w:p>
        </w:tc>
        <w:tc>
          <w:tcPr>
            <w:tcW w:w="1772" w:type="dxa"/>
            <w:tcBorders>
              <w:bottom w:val="single" w:sz="4" w:space="0" w:color="auto"/>
            </w:tcBorders>
          </w:tcPr>
          <w:p w:rsidR="00D46B5F" w:rsidRPr="000D1D1D" w:rsidRDefault="00D46B5F"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8.08198</w:t>
            </w:r>
          </w:p>
        </w:tc>
      </w:tr>
    </w:tbl>
    <w:p w:rsidR="006C5ADF" w:rsidRDefault="00D46B5F" w:rsidP="006C5ADF">
      <w:pPr>
        <w:pStyle w:val="NoSpacing"/>
        <w:jc w:val="both"/>
        <w:rPr>
          <w:rFonts w:ascii="Times New Roman" w:hAnsi="Times New Roman" w:cs="Times New Roman"/>
          <w:sz w:val="16"/>
          <w:szCs w:val="16"/>
        </w:rPr>
      </w:pPr>
      <w:r w:rsidRPr="006C5ADF">
        <w:rPr>
          <w:sz w:val="18"/>
          <w:szCs w:val="18"/>
        </w:rPr>
        <w:t xml:space="preserve">      </w:t>
      </w:r>
      <w:r w:rsidRPr="006C5ADF">
        <w:rPr>
          <w:rFonts w:ascii="Times New Roman" w:hAnsi="Times New Roman" w:cs="Times New Roman"/>
          <w:sz w:val="16"/>
          <w:szCs w:val="16"/>
        </w:rPr>
        <w:t>Note: The test statistics are compared to the critical values from MacKinnon – Haug – Michellis (1999) with trend assumption;</w:t>
      </w:r>
    </w:p>
    <w:p w:rsidR="006C5ADF" w:rsidRPr="006C5ADF" w:rsidRDefault="006C5ADF" w:rsidP="006C5ADF">
      <w:pPr>
        <w:pStyle w:val="NoSpacing"/>
        <w:jc w:val="both"/>
        <w:rPr>
          <w:rFonts w:ascii="Times New Roman" w:hAnsi="Times New Roman" w:cs="Times New Roman"/>
          <w:sz w:val="16"/>
          <w:szCs w:val="16"/>
        </w:rPr>
      </w:pPr>
      <w:r>
        <w:rPr>
          <w:rFonts w:ascii="Times New Roman" w:hAnsi="Times New Roman" w:cs="Times New Roman"/>
          <w:sz w:val="16"/>
          <w:szCs w:val="16"/>
        </w:rPr>
        <w:t xml:space="preserve">   </w:t>
      </w:r>
      <w:r w:rsidR="000D1D1D">
        <w:rPr>
          <w:rFonts w:ascii="Times New Roman" w:hAnsi="Times New Roman" w:cs="Times New Roman"/>
          <w:sz w:val="16"/>
          <w:szCs w:val="16"/>
        </w:rPr>
        <w:t xml:space="preserve"> </w:t>
      </w:r>
      <w:r>
        <w:rPr>
          <w:rFonts w:ascii="Times New Roman" w:hAnsi="Times New Roman" w:cs="Times New Roman"/>
          <w:sz w:val="16"/>
          <w:szCs w:val="16"/>
        </w:rPr>
        <w:t xml:space="preserve"> </w:t>
      </w:r>
      <w:r w:rsidR="00D46B5F" w:rsidRPr="006C5ADF">
        <w:rPr>
          <w:rFonts w:ascii="Times New Roman" w:hAnsi="Times New Roman" w:cs="Times New Roman"/>
          <w:sz w:val="16"/>
          <w:szCs w:val="16"/>
        </w:rPr>
        <w:t xml:space="preserve"> linear deterministic trend.</w:t>
      </w:r>
      <w:r>
        <w:rPr>
          <w:rFonts w:ascii="Times New Roman" w:hAnsi="Times New Roman" w:cs="Times New Roman"/>
          <w:sz w:val="16"/>
          <w:szCs w:val="16"/>
        </w:rPr>
        <w:t xml:space="preserve"> </w:t>
      </w:r>
      <w:r w:rsidRPr="006C5ADF">
        <w:rPr>
          <w:rFonts w:ascii="Times New Roman" w:hAnsi="Times New Roman" w:cs="Times New Roman"/>
          <w:sz w:val="16"/>
          <w:szCs w:val="16"/>
        </w:rPr>
        <w:t xml:space="preserve">  </w:t>
      </w:r>
      <w:r w:rsidR="00D46B5F" w:rsidRPr="006C5ADF">
        <w:rPr>
          <w:rFonts w:ascii="Times New Roman" w:hAnsi="Times New Roman" w:cs="Times New Roman"/>
          <w:sz w:val="16"/>
          <w:szCs w:val="16"/>
        </w:rPr>
        <w:t>*, **, *** denotes significant at 10%, 5%</w:t>
      </w:r>
      <w:r w:rsidRPr="006C5ADF">
        <w:rPr>
          <w:rFonts w:ascii="Times New Roman" w:hAnsi="Times New Roman" w:cs="Times New Roman"/>
          <w:sz w:val="16"/>
          <w:szCs w:val="16"/>
        </w:rPr>
        <w:t xml:space="preserve"> </w:t>
      </w:r>
      <w:r w:rsidR="00D46B5F" w:rsidRPr="006C5ADF">
        <w:rPr>
          <w:rFonts w:ascii="Times New Roman" w:hAnsi="Times New Roman" w:cs="Times New Roman"/>
          <w:sz w:val="16"/>
          <w:szCs w:val="16"/>
        </w:rPr>
        <w:t xml:space="preserve">and 1% significance levels. Lag interval: 1 to 1 (Based </w:t>
      </w:r>
      <w:r w:rsidRPr="006C5ADF">
        <w:rPr>
          <w:rFonts w:ascii="Times New Roman" w:hAnsi="Times New Roman" w:cs="Times New Roman"/>
          <w:sz w:val="16"/>
          <w:szCs w:val="16"/>
        </w:rPr>
        <w:t xml:space="preserve">    </w:t>
      </w:r>
    </w:p>
    <w:p w:rsidR="00D46B5F" w:rsidRPr="006C5ADF" w:rsidRDefault="006C5ADF" w:rsidP="006C5ADF">
      <w:pPr>
        <w:pStyle w:val="NoSpacing"/>
        <w:jc w:val="both"/>
        <w:rPr>
          <w:rFonts w:ascii="Times New Roman" w:hAnsi="Times New Roman" w:cs="Times New Roman"/>
          <w:sz w:val="16"/>
          <w:szCs w:val="16"/>
        </w:rPr>
      </w:pPr>
      <w:r w:rsidRPr="006C5ADF">
        <w:rPr>
          <w:rFonts w:ascii="Times New Roman" w:hAnsi="Times New Roman" w:cs="Times New Roman"/>
          <w:sz w:val="16"/>
          <w:szCs w:val="16"/>
        </w:rPr>
        <w:t xml:space="preserve">     </w:t>
      </w:r>
      <w:r w:rsidR="000D1D1D">
        <w:rPr>
          <w:rFonts w:ascii="Times New Roman" w:hAnsi="Times New Roman" w:cs="Times New Roman"/>
          <w:sz w:val="16"/>
          <w:szCs w:val="16"/>
        </w:rPr>
        <w:t xml:space="preserve"> </w:t>
      </w:r>
      <w:r w:rsidR="00D46B5F" w:rsidRPr="006C5ADF">
        <w:rPr>
          <w:rFonts w:ascii="Times New Roman" w:hAnsi="Times New Roman" w:cs="Times New Roman"/>
          <w:sz w:val="16"/>
          <w:szCs w:val="16"/>
        </w:rPr>
        <w:t>on Optimal Lag Test)</w:t>
      </w:r>
    </w:p>
    <w:p w:rsidR="00D46B5F" w:rsidRPr="00450DF8" w:rsidRDefault="00D46B5F" w:rsidP="00D46B5F"/>
    <w:p w:rsidR="00D46B5F" w:rsidRPr="000D1D1D" w:rsidRDefault="008176C5">
      <w:pPr>
        <w:rPr>
          <w:rFonts w:ascii="Times New Roman" w:hAnsi="Times New Roman" w:cs="Times New Roman"/>
          <w:b/>
          <w:sz w:val="24"/>
          <w:szCs w:val="24"/>
        </w:rPr>
      </w:pPr>
      <w:r w:rsidRPr="000D1D1D">
        <w:rPr>
          <w:rFonts w:ascii="Times New Roman" w:hAnsi="Times New Roman" w:cs="Times New Roman"/>
          <w:b/>
          <w:sz w:val="24"/>
          <w:szCs w:val="24"/>
        </w:rPr>
        <w:t>Estimation of</w:t>
      </w:r>
      <w:r w:rsidR="00D46B5F" w:rsidRPr="000D1D1D">
        <w:rPr>
          <w:rFonts w:ascii="Times New Roman" w:hAnsi="Times New Roman" w:cs="Times New Roman"/>
          <w:b/>
          <w:sz w:val="24"/>
          <w:szCs w:val="24"/>
        </w:rPr>
        <w:t xml:space="preserve"> long </w:t>
      </w:r>
      <w:r w:rsidR="007E39F5" w:rsidRPr="000D1D1D">
        <w:rPr>
          <w:rFonts w:ascii="Times New Roman" w:hAnsi="Times New Roman" w:cs="Times New Roman"/>
          <w:b/>
          <w:sz w:val="24"/>
          <w:szCs w:val="24"/>
        </w:rPr>
        <w:t>–</w:t>
      </w:r>
      <w:r w:rsidRPr="000D1D1D">
        <w:rPr>
          <w:rFonts w:ascii="Times New Roman" w:hAnsi="Times New Roman" w:cs="Times New Roman"/>
          <w:b/>
          <w:sz w:val="24"/>
          <w:szCs w:val="24"/>
        </w:rPr>
        <w:t xml:space="preserve"> </w:t>
      </w:r>
      <w:r w:rsidR="00D46B5F" w:rsidRPr="000D1D1D">
        <w:rPr>
          <w:rFonts w:ascii="Times New Roman" w:hAnsi="Times New Roman" w:cs="Times New Roman"/>
          <w:b/>
          <w:sz w:val="24"/>
          <w:szCs w:val="24"/>
        </w:rPr>
        <w:t>run equation using the Vector Error Correction Model (VECM)</w:t>
      </w:r>
    </w:p>
    <w:p w:rsidR="005E16BF" w:rsidRDefault="00D46B5F" w:rsidP="008176C5">
      <w:pPr>
        <w:tabs>
          <w:tab w:val="left" w:pos="2534"/>
        </w:tabs>
        <w:jc w:val="both"/>
        <w:rPr>
          <w:rFonts w:ascii="Times New Roman" w:hAnsi="Times New Roman" w:cs="Times New Roman"/>
          <w:sz w:val="24"/>
          <w:szCs w:val="24"/>
        </w:rPr>
      </w:pPr>
      <w:r w:rsidRPr="000D1D1D">
        <w:rPr>
          <w:rFonts w:ascii="Times New Roman" w:hAnsi="Times New Roman" w:cs="Times New Roman"/>
          <w:sz w:val="24"/>
          <w:szCs w:val="24"/>
        </w:rPr>
        <w:t xml:space="preserve">In </w:t>
      </w:r>
      <w:r w:rsidR="00505733" w:rsidRPr="000D1D1D">
        <w:rPr>
          <w:rFonts w:ascii="Times New Roman" w:hAnsi="Times New Roman" w:cs="Times New Roman"/>
          <w:sz w:val="24"/>
          <w:szCs w:val="24"/>
        </w:rPr>
        <w:t>order to come out with the long–</w:t>
      </w:r>
      <w:r w:rsidRPr="000D1D1D">
        <w:rPr>
          <w:rFonts w:ascii="Times New Roman" w:hAnsi="Times New Roman" w:cs="Times New Roman"/>
          <w:sz w:val="24"/>
          <w:szCs w:val="24"/>
        </w:rPr>
        <w:t xml:space="preserve">run equation, we have used the Vector Error Correction Model (VECM). This estimation method will </w:t>
      </w:r>
      <w:r w:rsidR="000D1D1D" w:rsidRPr="000D1D1D">
        <w:rPr>
          <w:rFonts w:ascii="Times New Roman" w:hAnsi="Times New Roman" w:cs="Times New Roman"/>
          <w:sz w:val="24"/>
          <w:szCs w:val="24"/>
        </w:rPr>
        <w:t>provide</w:t>
      </w:r>
      <w:r w:rsidRPr="000D1D1D">
        <w:rPr>
          <w:rFonts w:ascii="Times New Roman" w:hAnsi="Times New Roman" w:cs="Times New Roman"/>
          <w:sz w:val="24"/>
          <w:szCs w:val="24"/>
        </w:rPr>
        <w:t xml:space="preserve"> information regarding the velocity of adjustment on the inst</w:t>
      </w:r>
      <w:r w:rsidR="00505733" w:rsidRPr="000D1D1D">
        <w:rPr>
          <w:rFonts w:ascii="Times New Roman" w:hAnsi="Times New Roman" w:cs="Times New Roman"/>
          <w:sz w:val="24"/>
          <w:szCs w:val="24"/>
        </w:rPr>
        <w:t>ability relationship from short</w:t>
      </w:r>
      <w:r w:rsidR="007E39F5" w:rsidRPr="000D1D1D">
        <w:rPr>
          <w:rFonts w:ascii="Times New Roman" w:hAnsi="Times New Roman" w:cs="Times New Roman"/>
          <w:sz w:val="24"/>
          <w:szCs w:val="24"/>
        </w:rPr>
        <w:t>–</w:t>
      </w:r>
      <w:r w:rsidRPr="000D1D1D">
        <w:rPr>
          <w:rFonts w:ascii="Times New Roman" w:hAnsi="Times New Roman" w:cs="Times New Roman"/>
          <w:sz w:val="24"/>
          <w:szCs w:val="24"/>
        </w:rPr>
        <w:t>term to long term equilibrium. Variables that are not stationary at level will be analysed by testing the unit root at the first difference level. This application of first differe</w:t>
      </w:r>
      <w:r w:rsidR="00505733" w:rsidRPr="000D1D1D">
        <w:rPr>
          <w:rFonts w:ascii="Times New Roman" w:hAnsi="Times New Roman" w:cs="Times New Roman"/>
          <w:sz w:val="24"/>
          <w:szCs w:val="24"/>
        </w:rPr>
        <w:t>nce data can eliminate the long-</w:t>
      </w:r>
      <w:r w:rsidRPr="000D1D1D">
        <w:rPr>
          <w:rFonts w:ascii="Times New Roman" w:hAnsi="Times New Roman" w:cs="Times New Roman"/>
          <w:sz w:val="24"/>
          <w:szCs w:val="24"/>
        </w:rPr>
        <w:t>term information in the study. For this reason, VECM will be used in order to anticipate a loss of long term information as long as the data are coint</w:t>
      </w:r>
      <w:r w:rsidR="001F7518" w:rsidRPr="000D1D1D">
        <w:rPr>
          <w:rFonts w:ascii="Times New Roman" w:hAnsi="Times New Roman" w:cs="Times New Roman"/>
          <w:sz w:val="24"/>
          <w:szCs w:val="24"/>
        </w:rPr>
        <w:t>egrated. Table 4</w:t>
      </w:r>
      <w:r w:rsidR="00505733" w:rsidRPr="000D1D1D">
        <w:rPr>
          <w:rFonts w:ascii="Times New Roman" w:hAnsi="Times New Roman" w:cs="Times New Roman"/>
          <w:sz w:val="24"/>
          <w:szCs w:val="24"/>
        </w:rPr>
        <w:t xml:space="preserve"> shows the long–</w:t>
      </w:r>
      <w:r w:rsidRPr="000D1D1D">
        <w:rPr>
          <w:rFonts w:ascii="Times New Roman" w:hAnsi="Times New Roman" w:cs="Times New Roman"/>
          <w:sz w:val="24"/>
          <w:szCs w:val="24"/>
        </w:rPr>
        <w:t>run equation derived from the VE</w:t>
      </w:r>
      <w:r w:rsidR="00505733" w:rsidRPr="000D1D1D">
        <w:rPr>
          <w:rFonts w:ascii="Times New Roman" w:hAnsi="Times New Roman" w:cs="Times New Roman"/>
          <w:sz w:val="24"/>
          <w:szCs w:val="24"/>
        </w:rPr>
        <w:t>CM modelling depicts the long-</w:t>
      </w:r>
      <w:r w:rsidRPr="000D1D1D">
        <w:rPr>
          <w:rFonts w:ascii="Times New Roman" w:hAnsi="Times New Roman" w:cs="Times New Roman"/>
          <w:sz w:val="24"/>
          <w:szCs w:val="24"/>
        </w:rPr>
        <w:t xml:space="preserve">term relationship among the variables with the number in parentheses being the t-ratios. </w:t>
      </w: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Default="000D1D1D" w:rsidP="008176C5">
      <w:pPr>
        <w:tabs>
          <w:tab w:val="left" w:pos="2534"/>
        </w:tabs>
        <w:jc w:val="both"/>
        <w:rPr>
          <w:rFonts w:ascii="Times New Roman" w:hAnsi="Times New Roman" w:cs="Times New Roman"/>
          <w:sz w:val="24"/>
          <w:szCs w:val="24"/>
        </w:rPr>
      </w:pPr>
    </w:p>
    <w:p w:rsidR="000D1D1D" w:rsidRPr="000D1D1D" w:rsidRDefault="000D1D1D" w:rsidP="008176C5">
      <w:pPr>
        <w:tabs>
          <w:tab w:val="left" w:pos="2534"/>
        </w:tabs>
        <w:jc w:val="both"/>
        <w:rPr>
          <w:rFonts w:ascii="Times New Roman" w:hAnsi="Times New Roman" w:cs="Times New Roman"/>
          <w:sz w:val="24"/>
          <w:szCs w:val="24"/>
        </w:rPr>
      </w:pPr>
    </w:p>
    <w:p w:rsidR="00C43601" w:rsidRPr="000D1D1D" w:rsidRDefault="001F7518" w:rsidP="00C43601">
      <w:pPr>
        <w:jc w:val="center"/>
        <w:rPr>
          <w:rFonts w:ascii="Times New Roman" w:hAnsi="Times New Roman" w:cs="Times New Roman"/>
          <w:sz w:val="24"/>
          <w:szCs w:val="24"/>
        </w:rPr>
      </w:pPr>
      <w:r w:rsidRPr="000D1D1D">
        <w:rPr>
          <w:rFonts w:ascii="Times New Roman" w:hAnsi="Times New Roman" w:cs="Times New Roman"/>
          <w:b/>
          <w:bCs/>
          <w:sz w:val="24"/>
          <w:szCs w:val="24"/>
        </w:rPr>
        <w:lastRenderedPageBreak/>
        <w:t>Table 4</w:t>
      </w:r>
      <w:r w:rsidR="00C43601" w:rsidRPr="000D1D1D">
        <w:rPr>
          <w:rFonts w:ascii="Times New Roman" w:hAnsi="Times New Roman" w:cs="Times New Roman"/>
          <w:b/>
          <w:bCs/>
          <w:sz w:val="24"/>
          <w:szCs w:val="24"/>
        </w:rPr>
        <w:t>:</w:t>
      </w:r>
      <w:r w:rsidR="008176C5" w:rsidRPr="000D1D1D">
        <w:rPr>
          <w:rFonts w:ascii="Times New Roman" w:hAnsi="Times New Roman" w:cs="Times New Roman"/>
          <w:b/>
          <w:bCs/>
          <w:sz w:val="24"/>
          <w:szCs w:val="24"/>
        </w:rPr>
        <w:t xml:space="preserve"> </w:t>
      </w:r>
      <w:r w:rsidR="00E559B5" w:rsidRPr="000D1D1D">
        <w:rPr>
          <w:rFonts w:ascii="Times New Roman" w:hAnsi="Times New Roman" w:cs="Times New Roman"/>
          <w:b/>
          <w:bCs/>
          <w:sz w:val="24"/>
          <w:szCs w:val="24"/>
        </w:rPr>
        <w:t xml:space="preserve">Vector </w:t>
      </w:r>
      <w:r w:rsidR="00C43601" w:rsidRPr="000D1D1D">
        <w:rPr>
          <w:rFonts w:ascii="Times New Roman" w:hAnsi="Times New Roman" w:cs="Times New Roman"/>
          <w:b/>
          <w:bCs/>
          <w:sz w:val="24"/>
          <w:szCs w:val="24"/>
        </w:rPr>
        <w:t>Error Correction Model (VECM)</w:t>
      </w:r>
    </w:p>
    <w:tbl>
      <w:tblPr>
        <w:tblW w:w="5894" w:type="dxa"/>
        <w:jc w:val="center"/>
        <w:tblLook w:val="04A0" w:firstRow="1" w:lastRow="0" w:firstColumn="1" w:lastColumn="0" w:noHBand="0" w:noVBand="1"/>
      </w:tblPr>
      <w:tblGrid>
        <w:gridCol w:w="1676"/>
        <w:gridCol w:w="2149"/>
        <w:gridCol w:w="421"/>
        <w:gridCol w:w="142"/>
        <w:gridCol w:w="1506"/>
      </w:tblGrid>
      <w:tr w:rsidR="00C43601" w:rsidRPr="000D1D1D" w:rsidTr="00BE3CDB">
        <w:trPr>
          <w:trHeight w:val="300"/>
          <w:jc w:val="center"/>
        </w:trPr>
        <w:tc>
          <w:tcPr>
            <w:tcW w:w="1676" w:type="dxa"/>
            <w:tcBorders>
              <w:top w:val="single" w:sz="4" w:space="0" w:color="auto"/>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 xml:space="preserve">Explanatory </w:t>
            </w:r>
          </w:p>
        </w:tc>
        <w:tc>
          <w:tcPr>
            <w:tcW w:w="4218" w:type="dxa"/>
            <w:gridSpan w:val="4"/>
            <w:tcBorders>
              <w:top w:val="single" w:sz="4" w:space="0" w:color="auto"/>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Dependent Variable</w:t>
            </w:r>
          </w:p>
        </w:tc>
      </w:tr>
      <w:tr w:rsidR="00C43601" w:rsidRPr="000D1D1D" w:rsidTr="00BE3CDB">
        <w:trPr>
          <w:trHeight w:val="300"/>
          <w:jc w:val="center"/>
        </w:trPr>
        <w:tc>
          <w:tcPr>
            <w:tcW w:w="1676" w:type="dxa"/>
            <w:tcBorders>
              <w:top w:val="nil"/>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Variables</w:t>
            </w:r>
          </w:p>
        </w:tc>
        <w:tc>
          <w:tcPr>
            <w:tcW w:w="2149" w:type="dxa"/>
            <w:tcBorders>
              <w:top w:val="single" w:sz="4" w:space="0" w:color="auto"/>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Coefficient</w:t>
            </w:r>
          </w:p>
        </w:tc>
        <w:tc>
          <w:tcPr>
            <w:tcW w:w="421" w:type="dxa"/>
            <w:tcBorders>
              <w:top w:val="single" w:sz="4" w:space="0" w:color="auto"/>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single" w:sz="4" w:space="0" w:color="auto"/>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t-statistics</w:t>
            </w:r>
          </w:p>
        </w:tc>
      </w:tr>
      <w:tr w:rsidR="00C43601" w:rsidRPr="000D1D1D" w:rsidTr="00BE3CDB">
        <w:trPr>
          <w:trHeight w:val="300"/>
          <w:jc w:val="center"/>
        </w:trPr>
        <w:tc>
          <w:tcPr>
            <w:tcW w:w="1676" w:type="dxa"/>
            <w:tcBorders>
              <w:top w:val="single" w:sz="4" w:space="0" w:color="auto"/>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LNTDIB</w:t>
            </w:r>
          </w:p>
        </w:tc>
        <w:tc>
          <w:tcPr>
            <w:tcW w:w="2149" w:type="dxa"/>
            <w:tcBorders>
              <w:top w:val="single" w:sz="4" w:space="0" w:color="auto"/>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-0.5228</w:t>
            </w:r>
          </w:p>
        </w:tc>
        <w:tc>
          <w:tcPr>
            <w:tcW w:w="421" w:type="dxa"/>
            <w:tcBorders>
              <w:top w:val="single" w:sz="4" w:space="0" w:color="auto"/>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single" w:sz="4" w:space="0" w:color="auto"/>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-2.5059**</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LNTFIB</w:t>
            </w:r>
          </w:p>
        </w:tc>
        <w:tc>
          <w:tcPr>
            <w:tcW w:w="2149"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-0.1217</w:t>
            </w:r>
          </w:p>
        </w:tc>
        <w:tc>
          <w:tcPr>
            <w:tcW w:w="421"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-1.3337**</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LNTAIB</w:t>
            </w:r>
          </w:p>
        </w:tc>
        <w:tc>
          <w:tcPr>
            <w:tcW w:w="2149"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-1.2606</w:t>
            </w:r>
          </w:p>
        </w:tc>
        <w:tc>
          <w:tcPr>
            <w:tcW w:w="421"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-2.5390**</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LNNPLIB</w:t>
            </w:r>
          </w:p>
        </w:tc>
        <w:tc>
          <w:tcPr>
            <w:tcW w:w="2149"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 xml:space="preserve">  0.4720</w:t>
            </w:r>
          </w:p>
        </w:tc>
        <w:tc>
          <w:tcPr>
            <w:tcW w:w="421"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6.0069**</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C</w:t>
            </w:r>
          </w:p>
        </w:tc>
        <w:tc>
          <w:tcPr>
            <w:tcW w:w="2149"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jc w:val="center"/>
              <w:rPr>
                <w:rFonts w:ascii="Times New Roman" w:eastAsia="Times New Roman" w:hAnsi="Times New Roman" w:cs="Times New Roman"/>
                <w:color w:val="000000"/>
                <w:sz w:val="24"/>
                <w:szCs w:val="24"/>
                <w:lang w:eastAsia="en-MY"/>
              </w:rPr>
            </w:pPr>
            <w:r w:rsidRPr="000D1D1D">
              <w:rPr>
                <w:rFonts w:ascii="Times New Roman" w:hAnsi="Times New Roman" w:cs="Times New Roman"/>
                <w:sz w:val="24"/>
                <w:szCs w:val="24"/>
              </w:rPr>
              <w:t>-22.1657</w:t>
            </w:r>
          </w:p>
        </w:tc>
        <w:tc>
          <w:tcPr>
            <w:tcW w:w="421"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1648" w:type="dxa"/>
            <w:gridSpan w:val="2"/>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r>
      <w:tr w:rsidR="00C43601" w:rsidRPr="000D1D1D" w:rsidTr="00BE3CDB">
        <w:trPr>
          <w:trHeight w:val="363"/>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2149" w:type="dxa"/>
            <w:tcBorders>
              <w:top w:val="nil"/>
              <w:left w:val="nil"/>
              <w:bottom w:val="nil"/>
              <w:right w:val="nil"/>
            </w:tcBorders>
            <w:shd w:val="clear" w:color="auto" w:fill="auto"/>
            <w:noWrap/>
            <w:vAlign w:val="bottom"/>
            <w:hideMark/>
          </w:tcPr>
          <w:p w:rsidR="00C43601" w:rsidRPr="000D1D1D" w:rsidRDefault="009D423E" w:rsidP="00BE3CDB">
            <w:pPr>
              <w:pStyle w:val="NoSpacing"/>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C43601" w:rsidRPr="000D1D1D">
              <w:rPr>
                <w:rFonts w:ascii="Times New Roman" w:hAnsi="Times New Roman" w:cs="Times New Roman"/>
                <w:sz w:val="24"/>
                <w:szCs w:val="24"/>
                <w:lang w:eastAsia="en-MY"/>
              </w:rPr>
              <w:t>= 0.9517</w:t>
            </w:r>
          </w:p>
        </w:tc>
        <w:tc>
          <w:tcPr>
            <w:tcW w:w="421" w:type="dxa"/>
            <w:tcBorders>
              <w:top w:val="nil"/>
              <w:left w:val="nil"/>
              <w:bottom w:val="nil"/>
              <w:right w:val="nil"/>
            </w:tcBorders>
            <w:shd w:val="clear" w:color="auto" w:fill="auto"/>
            <w:noWrap/>
            <w:vAlign w:val="bottom"/>
            <w:hideMark/>
          </w:tcPr>
          <w:p w:rsidR="00C43601" w:rsidRPr="000D1D1D" w:rsidRDefault="00C43601" w:rsidP="00BE3CDB">
            <w:pPr>
              <w:pStyle w:val="NoSpacing"/>
              <w:rPr>
                <w:rFonts w:ascii="Times New Roman" w:hAnsi="Times New Roman" w:cs="Times New Roman"/>
                <w:sz w:val="24"/>
                <w:szCs w:val="24"/>
                <w:lang w:eastAsia="en-MY"/>
              </w:rPr>
            </w:pPr>
          </w:p>
        </w:tc>
        <w:tc>
          <w:tcPr>
            <w:tcW w:w="1648" w:type="dxa"/>
            <w:gridSpan w:val="2"/>
            <w:tcBorders>
              <w:top w:val="nil"/>
              <w:left w:val="nil"/>
              <w:bottom w:val="nil"/>
              <w:right w:val="nil"/>
            </w:tcBorders>
            <w:shd w:val="clear" w:color="auto" w:fill="auto"/>
            <w:noWrap/>
            <w:vAlign w:val="bottom"/>
            <w:hideMark/>
          </w:tcPr>
          <w:p w:rsidR="00C43601" w:rsidRPr="000D1D1D" w:rsidRDefault="00C43601" w:rsidP="00BE3CDB">
            <w:pPr>
              <w:pStyle w:val="NoSpacing"/>
              <w:rPr>
                <w:rFonts w:ascii="Times New Roman" w:hAnsi="Times New Roman" w:cs="Times New Roman"/>
                <w:sz w:val="24"/>
                <w:szCs w:val="24"/>
                <w:lang w:eastAsia="en-MY"/>
              </w:rPr>
            </w:pP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4218" w:type="dxa"/>
            <w:gridSpan w:val="4"/>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 xml:space="preserve">F </w:t>
            </w:r>
            <w:r w:rsidR="007E39F5" w:rsidRPr="000D1D1D">
              <w:rPr>
                <w:rFonts w:ascii="Times New Roman" w:eastAsia="Times New Roman" w:hAnsi="Times New Roman" w:cs="Times New Roman"/>
                <w:color w:val="000000"/>
                <w:sz w:val="24"/>
                <w:szCs w:val="24"/>
                <w:lang w:eastAsia="en-MY"/>
              </w:rPr>
              <w:t>–</w:t>
            </w:r>
            <w:r w:rsidRPr="000D1D1D">
              <w:rPr>
                <w:rFonts w:ascii="Times New Roman" w:eastAsia="Times New Roman" w:hAnsi="Times New Roman" w:cs="Times New Roman"/>
                <w:color w:val="000000"/>
                <w:sz w:val="24"/>
                <w:szCs w:val="24"/>
                <w:lang w:eastAsia="en-MY"/>
              </w:rPr>
              <w:t xml:space="preserve"> Statistic = 18.3256 (0.0000)</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4218" w:type="dxa"/>
            <w:gridSpan w:val="4"/>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Jarque Bera =3.4833 (0.1752)</w:t>
            </w:r>
          </w:p>
        </w:tc>
      </w:tr>
      <w:tr w:rsidR="00C43601" w:rsidRPr="000D1D1D" w:rsidTr="00BE3CDB">
        <w:trPr>
          <w:trHeight w:val="300"/>
          <w:jc w:val="center"/>
        </w:trPr>
        <w:tc>
          <w:tcPr>
            <w:tcW w:w="1676" w:type="dxa"/>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Diagnostic Test</w:t>
            </w:r>
          </w:p>
        </w:tc>
        <w:tc>
          <w:tcPr>
            <w:tcW w:w="4218" w:type="dxa"/>
            <w:gridSpan w:val="4"/>
            <w:tcBorders>
              <w:top w:val="nil"/>
              <w:left w:val="nil"/>
              <w:bottom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DW= 1.5384</w:t>
            </w:r>
          </w:p>
        </w:tc>
      </w:tr>
      <w:tr w:rsidR="00C43601" w:rsidRPr="000D1D1D" w:rsidTr="00BE3CDB">
        <w:trPr>
          <w:trHeight w:val="300"/>
          <w:jc w:val="center"/>
        </w:trPr>
        <w:tc>
          <w:tcPr>
            <w:tcW w:w="1676" w:type="dxa"/>
            <w:tcBorders>
              <w:top w:val="nil"/>
              <w:left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2570" w:type="dxa"/>
            <w:gridSpan w:val="2"/>
            <w:tcBorders>
              <w:top w:val="nil"/>
              <w:left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LM = 3.2350 (0.1984)</w:t>
            </w:r>
          </w:p>
        </w:tc>
        <w:tc>
          <w:tcPr>
            <w:tcW w:w="1648" w:type="dxa"/>
            <w:gridSpan w:val="2"/>
            <w:tcBorders>
              <w:top w:val="nil"/>
              <w:left w:val="nil"/>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r>
      <w:tr w:rsidR="00C43601" w:rsidRPr="000D1D1D" w:rsidTr="000D1D1D">
        <w:trPr>
          <w:trHeight w:val="300"/>
          <w:jc w:val="center"/>
        </w:trPr>
        <w:tc>
          <w:tcPr>
            <w:tcW w:w="1676" w:type="dxa"/>
            <w:tcBorders>
              <w:top w:val="nil"/>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c>
          <w:tcPr>
            <w:tcW w:w="2712" w:type="dxa"/>
            <w:gridSpan w:val="3"/>
            <w:tcBorders>
              <w:top w:val="nil"/>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r w:rsidRPr="000D1D1D">
              <w:rPr>
                <w:rFonts w:ascii="Times New Roman" w:eastAsia="Times New Roman" w:hAnsi="Times New Roman" w:cs="Times New Roman"/>
                <w:color w:val="000000"/>
                <w:sz w:val="24"/>
                <w:szCs w:val="24"/>
                <w:lang w:eastAsia="en-MY"/>
              </w:rPr>
              <w:t>ARCH = 0.3574 (0.0054)</w:t>
            </w:r>
          </w:p>
        </w:tc>
        <w:tc>
          <w:tcPr>
            <w:tcW w:w="1506" w:type="dxa"/>
            <w:tcBorders>
              <w:top w:val="nil"/>
              <w:left w:val="nil"/>
              <w:bottom w:val="single" w:sz="4" w:space="0" w:color="auto"/>
              <w:right w:val="nil"/>
            </w:tcBorders>
            <w:shd w:val="clear" w:color="auto" w:fill="auto"/>
            <w:noWrap/>
            <w:vAlign w:val="bottom"/>
            <w:hideMark/>
          </w:tcPr>
          <w:p w:rsidR="00C43601" w:rsidRPr="000D1D1D" w:rsidRDefault="00C43601" w:rsidP="00BE3CDB">
            <w:pPr>
              <w:spacing w:after="0" w:line="240" w:lineRule="auto"/>
              <w:rPr>
                <w:rFonts w:ascii="Times New Roman" w:eastAsia="Times New Roman" w:hAnsi="Times New Roman" w:cs="Times New Roman"/>
                <w:color w:val="000000"/>
                <w:sz w:val="24"/>
                <w:szCs w:val="24"/>
                <w:lang w:eastAsia="en-MY"/>
              </w:rPr>
            </w:pPr>
          </w:p>
        </w:tc>
      </w:tr>
    </w:tbl>
    <w:p w:rsidR="00C43601" w:rsidRPr="00450DF8" w:rsidRDefault="00C43601" w:rsidP="00C43601">
      <w:pPr>
        <w:pStyle w:val="Default"/>
        <w:rPr>
          <w:rFonts w:ascii="Times New Roman" w:hAnsi="Times New Roman" w:cs="Times New Roman"/>
          <w:sz w:val="16"/>
          <w:szCs w:val="16"/>
        </w:rPr>
      </w:pPr>
      <w:r w:rsidRPr="00450DF8">
        <w:rPr>
          <w:sz w:val="16"/>
          <w:szCs w:val="16"/>
        </w:rPr>
        <w:t xml:space="preserve"> </w:t>
      </w:r>
      <w:r w:rsidR="00450DF8">
        <w:rPr>
          <w:sz w:val="16"/>
          <w:szCs w:val="16"/>
        </w:rPr>
        <w:t xml:space="preserve">                                 </w:t>
      </w:r>
      <w:r w:rsidRPr="00450DF8">
        <w:rPr>
          <w:sz w:val="16"/>
          <w:szCs w:val="16"/>
        </w:rPr>
        <w:t xml:space="preserve">     </w:t>
      </w:r>
      <w:r w:rsidRPr="00450DF8">
        <w:rPr>
          <w:rFonts w:ascii="Times New Roman" w:hAnsi="Times New Roman" w:cs="Times New Roman"/>
          <w:sz w:val="16"/>
          <w:szCs w:val="16"/>
        </w:rPr>
        <w:t>Note: (t_table for alpha 5% = 1.67. DW is represent Durbin Watson Test, LM is refers to the</w:t>
      </w:r>
    </w:p>
    <w:p w:rsidR="00C43601" w:rsidRPr="00450DF8" w:rsidRDefault="00C43601" w:rsidP="00C43601">
      <w:pPr>
        <w:pStyle w:val="Default"/>
        <w:rPr>
          <w:rFonts w:ascii="Times New Roman" w:hAnsi="Times New Roman" w:cs="Times New Roman"/>
          <w:sz w:val="16"/>
          <w:szCs w:val="16"/>
        </w:rPr>
      </w:pPr>
      <w:r w:rsidRPr="00450DF8">
        <w:rPr>
          <w:rFonts w:ascii="Times New Roman" w:hAnsi="Times New Roman" w:cs="Times New Roman"/>
          <w:sz w:val="16"/>
          <w:szCs w:val="16"/>
        </w:rPr>
        <w:t xml:space="preserve">                                       Lagrange Multiplier statistic for serial correlation form and ARCH represents the test for </w:t>
      </w:r>
    </w:p>
    <w:p w:rsidR="00C43601" w:rsidRPr="00450DF8" w:rsidRDefault="00C43601" w:rsidP="00C43601">
      <w:pPr>
        <w:pStyle w:val="NoSpacing"/>
        <w:rPr>
          <w:rFonts w:ascii="Times New Roman" w:hAnsi="Times New Roman" w:cs="Times New Roman"/>
          <w:sz w:val="16"/>
          <w:szCs w:val="16"/>
        </w:rPr>
      </w:pPr>
      <w:r w:rsidRPr="00450DF8">
        <w:rPr>
          <w:rFonts w:ascii="Times New Roman" w:hAnsi="Times New Roman" w:cs="Times New Roman"/>
          <w:sz w:val="16"/>
          <w:szCs w:val="16"/>
        </w:rPr>
        <w:t xml:space="preserve">                                       Autoregressive Conditional Heteroscedasticity. *, **, *** denotes significant at 10%, 5% and </w:t>
      </w:r>
    </w:p>
    <w:p w:rsidR="00C43601" w:rsidRPr="00450DF8" w:rsidRDefault="00C43601" w:rsidP="00C43601">
      <w:pPr>
        <w:pStyle w:val="NoSpacing"/>
        <w:rPr>
          <w:rFonts w:ascii="Times New Roman" w:hAnsi="Times New Roman" w:cs="Times New Roman"/>
          <w:sz w:val="16"/>
          <w:szCs w:val="16"/>
        </w:rPr>
      </w:pPr>
      <w:r w:rsidRPr="00450DF8">
        <w:rPr>
          <w:rFonts w:ascii="Times New Roman" w:hAnsi="Times New Roman" w:cs="Times New Roman"/>
          <w:sz w:val="16"/>
          <w:szCs w:val="16"/>
        </w:rPr>
        <w:t xml:space="preserve">                                       1% significance levels</w:t>
      </w:r>
    </w:p>
    <w:p w:rsidR="00C43601" w:rsidRPr="00450DF8" w:rsidRDefault="00C43601" w:rsidP="00C43601"/>
    <w:p w:rsidR="00C43601" w:rsidRPr="000D1D1D" w:rsidRDefault="00505733" w:rsidP="00C43601">
      <w:pPr>
        <w:tabs>
          <w:tab w:val="left" w:pos="2534"/>
        </w:tabs>
        <w:rPr>
          <w:rFonts w:ascii="Times New Roman" w:hAnsi="Times New Roman" w:cs="Times New Roman"/>
          <w:sz w:val="24"/>
          <w:szCs w:val="24"/>
        </w:rPr>
      </w:pPr>
      <w:r w:rsidRPr="000D1D1D">
        <w:rPr>
          <w:rFonts w:ascii="Times New Roman" w:hAnsi="Times New Roman" w:cs="Times New Roman"/>
          <w:sz w:val="24"/>
          <w:szCs w:val="24"/>
        </w:rPr>
        <w:t>Thus, the final long-</w:t>
      </w:r>
      <w:r w:rsidR="00C43601" w:rsidRPr="000D1D1D">
        <w:rPr>
          <w:rFonts w:ascii="Times New Roman" w:hAnsi="Times New Roman" w:cs="Times New Roman"/>
          <w:sz w:val="24"/>
          <w:szCs w:val="24"/>
        </w:rPr>
        <w:t>run VECM equation derived is as follows:</w:t>
      </w:r>
    </w:p>
    <w:p w:rsidR="00C43601" w:rsidRPr="000D1D1D" w:rsidRDefault="00C43601" w:rsidP="00C43601">
      <w:pPr>
        <w:pStyle w:val="NoSpacing"/>
        <w:rPr>
          <w:rFonts w:ascii="Times New Roman" w:hAnsi="Times New Roman" w:cs="Times New Roman"/>
          <w:sz w:val="24"/>
          <w:szCs w:val="24"/>
        </w:rPr>
      </w:pPr>
      <w:r w:rsidRPr="000D1D1D">
        <w:rPr>
          <w:rFonts w:ascii="Times New Roman" w:hAnsi="Times New Roman" w:cs="Times New Roman"/>
          <w:sz w:val="24"/>
          <w:szCs w:val="24"/>
        </w:rPr>
        <w:t>LnRGDP</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- 44.627 – 0.5228LNTDIB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00AE54B2" w:rsidRPr="000D1D1D">
        <w:rPr>
          <w:rFonts w:ascii="Times New Roman" w:hAnsi="Times New Roman" w:cs="Times New Roman"/>
          <w:sz w:val="24"/>
          <w:szCs w:val="24"/>
        </w:rPr>
        <w:t>–</w:t>
      </w:r>
      <w:r w:rsidRPr="000D1D1D">
        <w:rPr>
          <w:rFonts w:ascii="Times New Roman" w:hAnsi="Times New Roman" w:cs="Times New Roman"/>
          <w:sz w:val="24"/>
          <w:szCs w:val="24"/>
        </w:rPr>
        <w:t xml:space="preserve"> 0.1217 LNTFIB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1.2606LNTAIB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+ 0.4720LNNPLIB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p>
    <w:p w:rsidR="00C43601" w:rsidRPr="000D1D1D" w:rsidRDefault="00C43601" w:rsidP="00C43601">
      <w:pPr>
        <w:pStyle w:val="NoSpacing"/>
        <w:rPr>
          <w:rFonts w:ascii="Times New Roman" w:hAnsi="Times New Roman" w:cs="Times New Roman"/>
          <w:sz w:val="24"/>
          <w:szCs w:val="24"/>
          <w:lang w:val="sv-SE"/>
        </w:rPr>
      </w:pPr>
    </w:p>
    <w:p w:rsidR="00C43601" w:rsidRPr="000D1D1D" w:rsidRDefault="00C43601" w:rsidP="00C43601">
      <w:pPr>
        <w:pStyle w:val="NoSpacing"/>
        <w:rPr>
          <w:rFonts w:ascii="Times New Roman" w:hAnsi="Times New Roman" w:cs="Times New Roman"/>
          <w:sz w:val="24"/>
          <w:szCs w:val="24"/>
          <w:lang w:val="sv-SE"/>
        </w:rPr>
      </w:pPr>
      <w:r w:rsidRPr="000D1D1D">
        <w:rPr>
          <w:rFonts w:ascii="Times New Roman" w:hAnsi="Times New Roman" w:cs="Times New Roman"/>
          <w:sz w:val="24"/>
          <w:szCs w:val="24"/>
          <w:lang w:val="sv-SE"/>
        </w:rPr>
        <w:t xml:space="preserve">Or </w:t>
      </w:r>
    </w:p>
    <w:p w:rsidR="00C43601" w:rsidRPr="000D1D1D" w:rsidRDefault="00C43601" w:rsidP="00C43601">
      <w:pPr>
        <w:pStyle w:val="NoSpacing"/>
        <w:rPr>
          <w:rFonts w:ascii="Times New Roman" w:hAnsi="Times New Roman" w:cs="Times New Roman"/>
          <w:sz w:val="24"/>
          <w:szCs w:val="24"/>
          <w:lang w:val="sv-SE"/>
        </w:rPr>
      </w:pPr>
    </w:p>
    <w:p w:rsidR="00C43601" w:rsidRPr="000D1D1D" w:rsidRDefault="00C43601" w:rsidP="00C43601">
      <w:pPr>
        <w:tabs>
          <w:tab w:val="left" w:pos="2534"/>
        </w:tabs>
        <w:rPr>
          <w:rFonts w:ascii="Times New Roman" w:hAnsi="Times New Roman" w:cs="Times New Roman"/>
          <w:sz w:val="24"/>
          <w:szCs w:val="24"/>
          <w:lang w:val="sv-SE"/>
        </w:rPr>
      </w:pPr>
      <w:r w:rsidRPr="000D1D1D">
        <w:rPr>
          <w:rFonts w:ascii="Times New Roman" w:hAnsi="Times New Roman" w:cs="Times New Roman"/>
          <w:sz w:val="24"/>
          <w:szCs w:val="24"/>
        </w:rPr>
        <w:t>LnRGDP</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44.627 + 0.5228LNTDIB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xml:space="preserve"> 0.1217 LNTFIB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+ 1.2606LNTAIB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 0.4720LNNPLIB</w:t>
      </w:r>
      <w:r w:rsidRPr="000D1D1D">
        <w:rPr>
          <w:rFonts w:ascii="Times New Roman" w:hAnsi="Times New Roman" w:cs="Times New Roman"/>
          <w:i/>
          <w:sz w:val="24"/>
          <w:szCs w:val="24"/>
          <w:vertAlign w:val="subscript"/>
          <w:lang w:val="sv-SE"/>
        </w:rPr>
        <w:t xml:space="preserve"> t-1</w:t>
      </w:r>
      <w:r w:rsidRPr="000D1D1D">
        <w:rPr>
          <w:rFonts w:ascii="Times New Roman" w:hAnsi="Times New Roman" w:cs="Times New Roman"/>
          <w:sz w:val="24"/>
          <w:szCs w:val="24"/>
          <w:lang w:val="sv-SE"/>
        </w:rPr>
        <w:t xml:space="preserve"> </w:t>
      </w:r>
    </w:p>
    <w:p w:rsidR="00D46B5F" w:rsidRPr="000D1D1D" w:rsidRDefault="00C43601" w:rsidP="00A6689D">
      <w:pPr>
        <w:tabs>
          <w:tab w:val="left" w:pos="2534"/>
        </w:tabs>
        <w:rPr>
          <w:rFonts w:ascii="Times New Roman" w:hAnsi="Times New Roman" w:cs="Times New Roman"/>
          <w:sz w:val="24"/>
          <w:szCs w:val="24"/>
        </w:rPr>
      </w:pPr>
      <w:r w:rsidRPr="000D1D1D">
        <w:rPr>
          <w:rFonts w:ascii="Times New Roman" w:hAnsi="Times New Roman" w:cs="Times New Roman"/>
          <w:sz w:val="24"/>
          <w:szCs w:val="24"/>
          <w:lang w:val="sv-SE"/>
        </w:rPr>
        <w:t>t-stat</w:t>
      </w:r>
      <w:r w:rsidR="00450DF8" w:rsidRPr="000D1D1D">
        <w:rPr>
          <w:rFonts w:ascii="Times New Roman" w:hAnsi="Times New Roman" w:cs="Times New Roman"/>
          <w:sz w:val="24"/>
          <w:szCs w:val="24"/>
          <w:lang w:val="sv-SE"/>
        </w:rPr>
        <w:t xml:space="preserve">                              </w:t>
      </w:r>
      <w:r w:rsidR="00320B80"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rPr>
        <w:t>2.5059</w:t>
      </w:r>
      <w:r w:rsidR="00450DF8" w:rsidRPr="000D1D1D">
        <w:rPr>
          <w:rFonts w:ascii="Times New Roman" w:hAnsi="Times New Roman" w:cs="Times New Roman"/>
          <w:sz w:val="24"/>
          <w:szCs w:val="24"/>
          <w:lang w:val="sv-SE"/>
        </w:rPr>
        <w:t>] **</w:t>
      </w:r>
      <w:r w:rsidR="00450DF8" w:rsidRPr="000D1D1D">
        <w:rPr>
          <w:rFonts w:ascii="Times New Roman" w:hAnsi="Times New Roman" w:cs="Times New Roman"/>
          <w:sz w:val="24"/>
          <w:szCs w:val="24"/>
          <w:lang w:val="sv-SE"/>
        </w:rPr>
        <w:tab/>
        <w:t xml:space="preserve">     </w:t>
      </w:r>
      <w:r w:rsidRPr="000D1D1D">
        <w:rPr>
          <w:rFonts w:ascii="Times New Roman" w:hAnsi="Times New Roman" w:cs="Times New Roman"/>
          <w:sz w:val="24"/>
          <w:szCs w:val="24"/>
          <w:lang w:val="sv-SE"/>
        </w:rPr>
        <w:t>[</w:t>
      </w:r>
      <w:r w:rsidRPr="000D1D1D">
        <w:rPr>
          <w:rFonts w:ascii="Times New Roman" w:hAnsi="Times New Roman" w:cs="Times New Roman"/>
          <w:sz w:val="24"/>
          <w:szCs w:val="24"/>
        </w:rPr>
        <w:t>-1.3337</w:t>
      </w:r>
      <w:r w:rsidRPr="000D1D1D">
        <w:rPr>
          <w:rFonts w:ascii="Times New Roman" w:hAnsi="Times New Roman" w:cs="Times New Roman"/>
          <w:sz w:val="24"/>
          <w:szCs w:val="24"/>
          <w:lang w:val="sv-SE"/>
        </w:rPr>
        <w:t xml:space="preserve">] **         </w:t>
      </w:r>
      <w:r w:rsidR="00320B80" w:rsidRPr="000D1D1D">
        <w:rPr>
          <w:rFonts w:ascii="Times New Roman" w:hAnsi="Times New Roman" w:cs="Times New Roman"/>
          <w:sz w:val="24"/>
          <w:szCs w:val="24"/>
          <w:lang w:val="sv-SE"/>
        </w:rPr>
        <w:t xml:space="preserve"> </w:t>
      </w:r>
      <w:r w:rsidRPr="000D1D1D">
        <w:rPr>
          <w:rFonts w:ascii="Times New Roman" w:hAnsi="Times New Roman" w:cs="Times New Roman"/>
          <w:sz w:val="24"/>
          <w:szCs w:val="24"/>
          <w:lang w:val="sv-SE"/>
        </w:rPr>
        <w:t>[</w:t>
      </w:r>
      <w:r w:rsidRPr="000D1D1D">
        <w:rPr>
          <w:rFonts w:ascii="Times New Roman" w:hAnsi="Times New Roman" w:cs="Times New Roman"/>
          <w:sz w:val="24"/>
          <w:szCs w:val="24"/>
        </w:rPr>
        <w:t>-2.5390</w:t>
      </w:r>
      <w:r w:rsidRPr="000D1D1D">
        <w:rPr>
          <w:rFonts w:ascii="Times New Roman" w:hAnsi="Times New Roman" w:cs="Times New Roman"/>
          <w:sz w:val="24"/>
          <w:szCs w:val="24"/>
          <w:lang w:val="sv-SE"/>
        </w:rPr>
        <w:t>] **</w:t>
      </w:r>
      <w:r w:rsidRPr="000D1D1D">
        <w:rPr>
          <w:rFonts w:ascii="Times New Roman" w:hAnsi="Times New Roman" w:cs="Times New Roman"/>
          <w:sz w:val="24"/>
          <w:szCs w:val="24"/>
        </w:rPr>
        <w:t xml:space="preserve">             </w:t>
      </w:r>
      <w:r w:rsidR="00320B80" w:rsidRPr="000D1D1D">
        <w:rPr>
          <w:rFonts w:ascii="Times New Roman" w:hAnsi="Times New Roman" w:cs="Times New Roman"/>
          <w:sz w:val="24"/>
          <w:szCs w:val="24"/>
        </w:rPr>
        <w:t xml:space="preserve">  </w:t>
      </w:r>
      <w:r w:rsidRPr="000D1D1D">
        <w:rPr>
          <w:rFonts w:ascii="Times New Roman" w:hAnsi="Times New Roman" w:cs="Times New Roman"/>
          <w:sz w:val="24"/>
          <w:szCs w:val="24"/>
          <w:lang w:val="sv-SE"/>
        </w:rPr>
        <w:t>[</w:t>
      </w:r>
      <w:r w:rsidRPr="000D1D1D">
        <w:rPr>
          <w:rFonts w:ascii="Times New Roman" w:hAnsi="Times New Roman" w:cs="Times New Roman"/>
          <w:sz w:val="24"/>
          <w:szCs w:val="24"/>
        </w:rPr>
        <w:t>6.0069</w:t>
      </w:r>
      <w:r w:rsidRPr="000D1D1D">
        <w:rPr>
          <w:rFonts w:ascii="Times New Roman" w:hAnsi="Times New Roman" w:cs="Times New Roman"/>
          <w:sz w:val="24"/>
          <w:szCs w:val="24"/>
          <w:lang w:val="sv-SE"/>
        </w:rPr>
        <w:t>]**</w:t>
      </w:r>
    </w:p>
    <w:p w:rsidR="00180AE6" w:rsidRPr="000D1D1D" w:rsidRDefault="00180AE6" w:rsidP="005608A9">
      <w:pPr>
        <w:tabs>
          <w:tab w:val="left" w:pos="2534"/>
        </w:tabs>
        <w:jc w:val="both"/>
        <w:rPr>
          <w:rFonts w:ascii="Times New Roman" w:hAnsi="Times New Roman" w:cs="Times New Roman"/>
          <w:sz w:val="24"/>
          <w:szCs w:val="24"/>
        </w:rPr>
      </w:pPr>
      <w:r w:rsidRPr="000D1D1D">
        <w:rPr>
          <w:rFonts w:ascii="Times New Roman" w:hAnsi="Times New Roman" w:cs="Times New Roman"/>
          <w:sz w:val="24"/>
          <w:szCs w:val="24"/>
        </w:rPr>
        <w:t xml:space="preserve">              </w:t>
      </w:r>
      <w:r w:rsidR="003654AA" w:rsidRPr="000D1D1D">
        <w:rPr>
          <w:rFonts w:ascii="Times New Roman" w:hAnsi="Times New Roman" w:cs="Times New Roman"/>
          <w:sz w:val="24"/>
          <w:szCs w:val="24"/>
        </w:rPr>
        <w:t>The equation above indicates the respective signs of all variables in the long</w:t>
      </w:r>
      <w:r w:rsidR="00505733" w:rsidRPr="000D1D1D">
        <w:rPr>
          <w:rFonts w:ascii="Times New Roman" w:hAnsi="Times New Roman" w:cs="Times New Roman"/>
          <w:sz w:val="24"/>
          <w:szCs w:val="24"/>
        </w:rPr>
        <w:t>-</w:t>
      </w:r>
      <w:r w:rsidR="003654AA" w:rsidRPr="000D1D1D">
        <w:rPr>
          <w:rFonts w:ascii="Times New Roman" w:hAnsi="Times New Roman" w:cs="Times New Roman"/>
          <w:sz w:val="24"/>
          <w:szCs w:val="24"/>
        </w:rPr>
        <w:t>run. The negative sign in total deposit and total financing shows that any increase in total deposit and total financing in Islamic banking will cause an increase in economic growth</w:t>
      </w:r>
      <w:r w:rsidR="006B28A4" w:rsidRPr="000D1D1D">
        <w:rPr>
          <w:rFonts w:ascii="Times New Roman" w:hAnsi="Times New Roman" w:cs="Times New Roman"/>
          <w:sz w:val="24"/>
          <w:szCs w:val="24"/>
        </w:rPr>
        <w:t xml:space="preserve"> and it is statistically significant </w:t>
      </w:r>
      <w:r w:rsidR="00643BD8" w:rsidRPr="000D1D1D">
        <w:rPr>
          <w:rFonts w:ascii="Times New Roman" w:hAnsi="Times New Roman" w:cs="Times New Roman"/>
          <w:sz w:val="24"/>
          <w:szCs w:val="24"/>
        </w:rPr>
        <w:t>(p=0.001</w:t>
      </w:r>
      <w:r w:rsidR="006B28A4" w:rsidRPr="000D1D1D">
        <w:rPr>
          <w:rFonts w:ascii="Times New Roman" w:hAnsi="Times New Roman" w:cs="Times New Roman"/>
          <w:sz w:val="24"/>
          <w:szCs w:val="24"/>
        </w:rPr>
        <w:t>)</w:t>
      </w:r>
      <w:r w:rsidR="003654AA" w:rsidRPr="000D1D1D">
        <w:rPr>
          <w:rFonts w:ascii="Times New Roman" w:hAnsi="Times New Roman" w:cs="Times New Roman"/>
          <w:sz w:val="24"/>
          <w:szCs w:val="24"/>
        </w:rPr>
        <w:t>.</w:t>
      </w:r>
      <w:r w:rsidR="001F6E2C" w:rsidRPr="000D1D1D">
        <w:rPr>
          <w:rFonts w:ascii="Times New Roman" w:hAnsi="Times New Roman" w:cs="Times New Roman"/>
          <w:sz w:val="24"/>
          <w:szCs w:val="24"/>
        </w:rPr>
        <w:t xml:space="preserve"> This is very true and robust for Malaysia economic</w:t>
      </w:r>
      <w:r w:rsidR="006B28A4" w:rsidRPr="000D1D1D">
        <w:rPr>
          <w:rFonts w:ascii="Times New Roman" w:hAnsi="Times New Roman" w:cs="Times New Roman"/>
          <w:sz w:val="24"/>
          <w:szCs w:val="24"/>
        </w:rPr>
        <w:t xml:space="preserve"> growth</w:t>
      </w:r>
      <w:r w:rsidR="001F6E2C" w:rsidRPr="000D1D1D">
        <w:rPr>
          <w:rFonts w:ascii="Times New Roman" w:hAnsi="Times New Roman" w:cs="Times New Roman"/>
          <w:sz w:val="24"/>
          <w:szCs w:val="24"/>
        </w:rPr>
        <w:t xml:space="preserve"> where financial sectors </w:t>
      </w:r>
      <w:proofErr w:type="gramStart"/>
      <w:r w:rsidR="001F6E2C" w:rsidRPr="000D1D1D">
        <w:rPr>
          <w:rFonts w:ascii="Times New Roman" w:hAnsi="Times New Roman" w:cs="Times New Roman"/>
          <w:sz w:val="24"/>
          <w:szCs w:val="24"/>
        </w:rPr>
        <w:t>includes</w:t>
      </w:r>
      <w:proofErr w:type="gramEnd"/>
      <w:r w:rsidR="001F6E2C" w:rsidRPr="000D1D1D">
        <w:rPr>
          <w:rFonts w:ascii="Times New Roman" w:hAnsi="Times New Roman" w:cs="Times New Roman"/>
          <w:sz w:val="24"/>
          <w:szCs w:val="24"/>
        </w:rPr>
        <w:t xml:space="preserve"> both conventional and Islamic banking contribution towards economic growth is expected to grow significantly at 8.6 percent in 2010 to between</w:t>
      </w:r>
      <w:r w:rsidR="006B28A4" w:rsidRPr="000D1D1D">
        <w:rPr>
          <w:rFonts w:ascii="Times New Roman" w:hAnsi="Times New Roman" w:cs="Times New Roman"/>
          <w:sz w:val="24"/>
          <w:szCs w:val="24"/>
        </w:rPr>
        <w:t xml:space="preserve"> 10 and 12 percent by 2020. The</w:t>
      </w:r>
      <w:r w:rsidR="001F6E2C" w:rsidRPr="000D1D1D">
        <w:rPr>
          <w:rFonts w:ascii="Times New Roman" w:hAnsi="Times New Roman" w:cs="Times New Roman"/>
          <w:sz w:val="24"/>
          <w:szCs w:val="24"/>
        </w:rPr>
        <w:t xml:space="preserve"> result shows that the role of financial sectors is </w:t>
      </w:r>
      <w:r w:rsidR="00F71AA9" w:rsidRPr="000D1D1D">
        <w:rPr>
          <w:rFonts w:ascii="Times New Roman" w:hAnsi="Times New Roman" w:cs="Times New Roman"/>
          <w:sz w:val="24"/>
          <w:szCs w:val="24"/>
        </w:rPr>
        <w:t>very important</w:t>
      </w:r>
      <w:r w:rsidR="001F6E2C" w:rsidRPr="000D1D1D">
        <w:rPr>
          <w:rFonts w:ascii="Times New Roman" w:hAnsi="Times New Roman" w:cs="Times New Roman"/>
          <w:sz w:val="24"/>
          <w:szCs w:val="24"/>
        </w:rPr>
        <w:t xml:space="preserve"> in achieving good economic growth. </w:t>
      </w:r>
      <w:r w:rsidR="00F71AA9" w:rsidRPr="000D1D1D">
        <w:rPr>
          <w:rFonts w:ascii="Times New Roman" w:hAnsi="Times New Roman" w:cs="Times New Roman"/>
          <w:sz w:val="24"/>
          <w:szCs w:val="24"/>
        </w:rPr>
        <w:t>In Malaysia, the deposit of Islamic banking as of 2012 was RM386.2 billion with the market share of 25.6 percent. On the other hand, total financing of this industry was at RM315.0 billion with the market share of 25.8 percent. In addition, the Islamic banking financing is expected to account for 40 percent of total financing in Malaysia by 2020</w:t>
      </w:r>
      <w:r w:rsidR="00BE3CDB" w:rsidRPr="000D1D1D">
        <w:rPr>
          <w:rFonts w:ascii="Times New Roman" w:hAnsi="Times New Roman" w:cs="Times New Roman"/>
          <w:sz w:val="24"/>
          <w:szCs w:val="24"/>
        </w:rPr>
        <w:t xml:space="preserve"> (BIMB report, 2012)</w:t>
      </w:r>
      <w:r w:rsidR="00F71AA9" w:rsidRPr="000D1D1D">
        <w:rPr>
          <w:rFonts w:ascii="Times New Roman" w:hAnsi="Times New Roman" w:cs="Times New Roman"/>
          <w:sz w:val="24"/>
          <w:szCs w:val="24"/>
        </w:rPr>
        <w:t xml:space="preserve">. </w:t>
      </w:r>
      <w:r w:rsidR="006B28A4" w:rsidRPr="000D1D1D">
        <w:rPr>
          <w:rFonts w:ascii="Times New Roman" w:hAnsi="Times New Roman" w:cs="Times New Roman"/>
          <w:sz w:val="24"/>
          <w:szCs w:val="24"/>
        </w:rPr>
        <w:t xml:space="preserve">The findings further stipulated that as Islamic banking grows, it will stimulate the economic growth of Malaysia as this industry continuously received a good </w:t>
      </w:r>
      <w:r w:rsidR="006B28A4" w:rsidRPr="000D1D1D">
        <w:rPr>
          <w:rFonts w:ascii="Times New Roman" w:hAnsi="Times New Roman" w:cs="Times New Roman"/>
          <w:sz w:val="24"/>
          <w:szCs w:val="24"/>
        </w:rPr>
        <w:lastRenderedPageBreak/>
        <w:t xml:space="preserve">support from Malaysian government which may significantly contribute to the higher economic growth especially in real sector. For example, since 2006, Malaysian government has implemented various strategic positioning and international integration global systems where it can let the Malaysia </w:t>
      </w:r>
      <w:r w:rsidR="00FA5551" w:rsidRPr="000D1D1D">
        <w:rPr>
          <w:rFonts w:ascii="Times New Roman" w:hAnsi="Times New Roman" w:cs="Times New Roman"/>
          <w:sz w:val="24"/>
          <w:szCs w:val="24"/>
        </w:rPr>
        <w:t>to be</w:t>
      </w:r>
      <w:r w:rsidR="006B28A4" w:rsidRPr="000D1D1D">
        <w:rPr>
          <w:rFonts w:ascii="Times New Roman" w:hAnsi="Times New Roman" w:cs="Times New Roman"/>
          <w:sz w:val="24"/>
          <w:szCs w:val="24"/>
        </w:rPr>
        <w:t xml:space="preserve"> a strategic</w:t>
      </w:r>
      <w:r w:rsidR="00FA5551" w:rsidRPr="000D1D1D">
        <w:rPr>
          <w:rFonts w:ascii="Times New Roman" w:hAnsi="Times New Roman" w:cs="Times New Roman"/>
          <w:sz w:val="24"/>
          <w:szCs w:val="24"/>
        </w:rPr>
        <w:t xml:space="preserve"> hub</w:t>
      </w:r>
      <w:r w:rsidR="006B28A4" w:rsidRPr="000D1D1D">
        <w:rPr>
          <w:rFonts w:ascii="Times New Roman" w:hAnsi="Times New Roman" w:cs="Times New Roman"/>
          <w:sz w:val="24"/>
          <w:szCs w:val="24"/>
        </w:rPr>
        <w:t xml:space="preserve"> </w:t>
      </w:r>
      <w:r w:rsidR="00FA5551" w:rsidRPr="000D1D1D">
        <w:rPr>
          <w:rFonts w:ascii="Times New Roman" w:hAnsi="Times New Roman" w:cs="Times New Roman"/>
          <w:sz w:val="24"/>
          <w:szCs w:val="24"/>
        </w:rPr>
        <w:t>for Islamic finance</w:t>
      </w:r>
      <w:r w:rsidR="00A80577" w:rsidRPr="000D1D1D">
        <w:rPr>
          <w:rFonts w:ascii="Times New Roman" w:hAnsi="Times New Roman" w:cs="Times New Roman"/>
          <w:sz w:val="24"/>
          <w:szCs w:val="24"/>
        </w:rPr>
        <w:t xml:space="preserve"> which may further enhance Malaysia economic growth and development.</w:t>
      </w:r>
      <w:r w:rsidR="00FA5551" w:rsidRPr="000D1D1D">
        <w:rPr>
          <w:rFonts w:ascii="Times New Roman" w:hAnsi="Times New Roman" w:cs="Times New Roman"/>
          <w:sz w:val="24"/>
          <w:szCs w:val="24"/>
        </w:rPr>
        <w:t xml:space="preserve"> This is consistent with Furqani and Mulyany (2009) where they have found that there is strong evidence of bidirectional relationship between Islamic banking total deposit and total financing towards economic growth in Malaysia. This study was carried out using time – series such as cointegration and granger causality test analysis between </w:t>
      </w:r>
      <w:proofErr w:type="gramStart"/>
      <w:r w:rsidR="00FA5551" w:rsidRPr="000D1D1D">
        <w:rPr>
          <w:rFonts w:ascii="Times New Roman" w:hAnsi="Times New Roman" w:cs="Times New Roman"/>
          <w:sz w:val="24"/>
          <w:szCs w:val="24"/>
        </w:rPr>
        <w:t>1997:Q</w:t>
      </w:r>
      <w:proofErr w:type="gramEnd"/>
      <w:r w:rsidR="00FA5551" w:rsidRPr="000D1D1D">
        <w:rPr>
          <w:rFonts w:ascii="Times New Roman" w:hAnsi="Times New Roman" w:cs="Times New Roman"/>
          <w:sz w:val="24"/>
          <w:szCs w:val="24"/>
        </w:rPr>
        <w:t>1 and 2005.  In addition, our result is also consistent with Abduh and Chowdury (</w:t>
      </w:r>
      <w:r w:rsidR="00A80577" w:rsidRPr="000D1D1D">
        <w:rPr>
          <w:rFonts w:ascii="Times New Roman" w:hAnsi="Times New Roman" w:cs="Times New Roman"/>
          <w:sz w:val="24"/>
          <w:szCs w:val="24"/>
        </w:rPr>
        <w:t xml:space="preserve">2012) where they have utilized quarterly time series data from 2004 till 2011 and employed various econometric techniques. The results </w:t>
      </w:r>
      <w:proofErr w:type="gramStart"/>
      <w:r w:rsidR="00A80577" w:rsidRPr="000D1D1D">
        <w:rPr>
          <w:rFonts w:ascii="Times New Roman" w:hAnsi="Times New Roman" w:cs="Times New Roman"/>
          <w:sz w:val="24"/>
          <w:szCs w:val="24"/>
        </w:rPr>
        <w:t>shows</w:t>
      </w:r>
      <w:proofErr w:type="gramEnd"/>
      <w:r w:rsidR="00A80577" w:rsidRPr="000D1D1D">
        <w:rPr>
          <w:rFonts w:ascii="Times New Roman" w:hAnsi="Times New Roman" w:cs="Times New Roman"/>
          <w:sz w:val="24"/>
          <w:szCs w:val="24"/>
        </w:rPr>
        <w:t xml:space="preserve"> there is strong justification where Islamic bank financing and deposit have a positive relationship with Bangladesh economic growth in both long and short run. </w:t>
      </w:r>
    </w:p>
    <w:p w:rsidR="00504436" w:rsidRPr="000D1D1D" w:rsidRDefault="00180AE6" w:rsidP="005608A9">
      <w:pPr>
        <w:tabs>
          <w:tab w:val="left" w:pos="2534"/>
        </w:tabs>
        <w:jc w:val="both"/>
        <w:rPr>
          <w:rFonts w:ascii="Times New Roman" w:hAnsi="Times New Roman" w:cs="Times New Roman"/>
          <w:sz w:val="24"/>
          <w:szCs w:val="24"/>
        </w:rPr>
      </w:pPr>
      <w:r w:rsidRPr="000D1D1D">
        <w:rPr>
          <w:rFonts w:ascii="Times New Roman" w:hAnsi="Times New Roman" w:cs="Times New Roman"/>
          <w:sz w:val="24"/>
          <w:szCs w:val="24"/>
        </w:rPr>
        <w:t xml:space="preserve">                </w:t>
      </w:r>
      <w:r w:rsidR="00A80577" w:rsidRPr="000D1D1D">
        <w:rPr>
          <w:rFonts w:ascii="Times New Roman" w:hAnsi="Times New Roman" w:cs="Times New Roman"/>
          <w:sz w:val="24"/>
          <w:szCs w:val="24"/>
        </w:rPr>
        <w:t>As for total assets of Islamic banking in Malaysia, it shows that there positive and significant relationship</w:t>
      </w:r>
      <w:r w:rsidR="00643BD8" w:rsidRPr="000D1D1D">
        <w:rPr>
          <w:rFonts w:ascii="Times New Roman" w:hAnsi="Times New Roman" w:cs="Times New Roman"/>
          <w:sz w:val="24"/>
          <w:szCs w:val="24"/>
        </w:rPr>
        <w:t xml:space="preserve"> (p=0.000</w:t>
      </w:r>
      <w:r w:rsidR="00FB4441" w:rsidRPr="000D1D1D">
        <w:rPr>
          <w:rFonts w:ascii="Times New Roman" w:hAnsi="Times New Roman" w:cs="Times New Roman"/>
          <w:sz w:val="24"/>
          <w:szCs w:val="24"/>
        </w:rPr>
        <w:t>)</w:t>
      </w:r>
      <w:r w:rsidR="00A80577" w:rsidRPr="000D1D1D">
        <w:rPr>
          <w:rFonts w:ascii="Times New Roman" w:hAnsi="Times New Roman" w:cs="Times New Roman"/>
          <w:sz w:val="24"/>
          <w:szCs w:val="24"/>
        </w:rPr>
        <w:t xml:space="preserve"> towards economic growth. </w:t>
      </w:r>
      <w:r w:rsidR="00810F05" w:rsidRPr="000D1D1D">
        <w:rPr>
          <w:rFonts w:ascii="Times New Roman" w:hAnsi="Times New Roman" w:cs="Times New Roman"/>
          <w:sz w:val="24"/>
          <w:szCs w:val="24"/>
        </w:rPr>
        <w:t xml:space="preserve">To be simple, if the Islamic banking total asset increases, it </w:t>
      </w:r>
      <w:r w:rsidR="00885B70" w:rsidRPr="000D1D1D">
        <w:rPr>
          <w:rFonts w:ascii="Times New Roman" w:hAnsi="Times New Roman" w:cs="Times New Roman"/>
          <w:sz w:val="24"/>
          <w:szCs w:val="24"/>
        </w:rPr>
        <w:t>will stimulate</w:t>
      </w:r>
      <w:r w:rsidR="00810F05" w:rsidRPr="000D1D1D">
        <w:rPr>
          <w:rFonts w:ascii="Times New Roman" w:hAnsi="Times New Roman" w:cs="Times New Roman"/>
          <w:sz w:val="24"/>
          <w:szCs w:val="24"/>
        </w:rPr>
        <w:t xml:space="preserve"> </w:t>
      </w:r>
      <w:r w:rsidR="008402F8" w:rsidRPr="000D1D1D">
        <w:rPr>
          <w:rFonts w:ascii="Times New Roman" w:hAnsi="Times New Roman" w:cs="Times New Roman"/>
          <w:sz w:val="24"/>
          <w:szCs w:val="24"/>
        </w:rPr>
        <w:t xml:space="preserve">Malaysia </w:t>
      </w:r>
      <w:r w:rsidR="00810F05" w:rsidRPr="000D1D1D">
        <w:rPr>
          <w:rFonts w:ascii="Times New Roman" w:hAnsi="Times New Roman" w:cs="Times New Roman"/>
          <w:sz w:val="24"/>
          <w:szCs w:val="24"/>
        </w:rPr>
        <w:t xml:space="preserve">economic growth.  </w:t>
      </w:r>
      <w:r w:rsidR="00FB4441" w:rsidRPr="000D1D1D">
        <w:rPr>
          <w:rFonts w:ascii="Times New Roman" w:hAnsi="Times New Roman" w:cs="Times New Roman"/>
          <w:sz w:val="24"/>
          <w:szCs w:val="24"/>
        </w:rPr>
        <w:t>As</w:t>
      </w:r>
      <w:r w:rsidR="00A80577" w:rsidRPr="000D1D1D">
        <w:rPr>
          <w:rFonts w:ascii="Times New Roman" w:hAnsi="Times New Roman" w:cs="Times New Roman"/>
          <w:sz w:val="24"/>
          <w:szCs w:val="24"/>
        </w:rPr>
        <w:t xml:space="preserve"> reported by BIMB reports, 2012, it is very clear that Islamic</w:t>
      </w:r>
      <w:r w:rsidR="00CE7B40" w:rsidRPr="000D1D1D">
        <w:rPr>
          <w:rFonts w:ascii="Times New Roman" w:hAnsi="Times New Roman" w:cs="Times New Roman"/>
          <w:sz w:val="24"/>
          <w:szCs w:val="24"/>
        </w:rPr>
        <w:t xml:space="preserve"> banking total </w:t>
      </w:r>
      <w:r w:rsidR="00FB4441" w:rsidRPr="000D1D1D">
        <w:rPr>
          <w:rFonts w:ascii="Times New Roman" w:hAnsi="Times New Roman" w:cs="Times New Roman"/>
          <w:sz w:val="24"/>
          <w:szCs w:val="24"/>
        </w:rPr>
        <w:t>asset represent</w:t>
      </w:r>
      <w:r w:rsidR="00A80577" w:rsidRPr="000D1D1D">
        <w:rPr>
          <w:rFonts w:ascii="Times New Roman" w:hAnsi="Times New Roman" w:cs="Times New Roman"/>
          <w:sz w:val="24"/>
          <w:szCs w:val="24"/>
        </w:rPr>
        <w:t xml:space="preserve"> 23.8 </w:t>
      </w:r>
      <w:r w:rsidR="00CE7B40" w:rsidRPr="000D1D1D">
        <w:rPr>
          <w:rFonts w:ascii="Times New Roman" w:hAnsi="Times New Roman" w:cs="Times New Roman"/>
          <w:sz w:val="24"/>
          <w:szCs w:val="24"/>
        </w:rPr>
        <w:t>percent</w:t>
      </w:r>
      <w:r w:rsidR="00A80577" w:rsidRPr="000D1D1D">
        <w:rPr>
          <w:rFonts w:ascii="Times New Roman" w:hAnsi="Times New Roman" w:cs="Times New Roman"/>
          <w:sz w:val="24"/>
          <w:szCs w:val="24"/>
        </w:rPr>
        <w:t xml:space="preserve"> of total </w:t>
      </w:r>
      <w:r w:rsidR="00CE7B40" w:rsidRPr="000D1D1D">
        <w:rPr>
          <w:rFonts w:ascii="Times New Roman" w:hAnsi="Times New Roman" w:cs="Times New Roman"/>
          <w:sz w:val="24"/>
          <w:szCs w:val="24"/>
        </w:rPr>
        <w:t xml:space="preserve">proportion of banking systems </w:t>
      </w:r>
      <w:r w:rsidR="00FB4441" w:rsidRPr="000D1D1D">
        <w:rPr>
          <w:rFonts w:ascii="Times New Roman" w:hAnsi="Times New Roman" w:cs="Times New Roman"/>
          <w:sz w:val="24"/>
          <w:szCs w:val="24"/>
        </w:rPr>
        <w:t>in Malaysia</w:t>
      </w:r>
      <w:r w:rsidR="00CE7B40" w:rsidRPr="000D1D1D">
        <w:rPr>
          <w:rFonts w:ascii="Times New Roman" w:hAnsi="Times New Roman" w:cs="Times New Roman"/>
          <w:sz w:val="24"/>
          <w:szCs w:val="24"/>
        </w:rPr>
        <w:t xml:space="preserve"> which is equivalent to RM494.6 billion. </w:t>
      </w:r>
      <w:r w:rsidR="00885B70" w:rsidRPr="000D1D1D">
        <w:rPr>
          <w:rFonts w:ascii="Times New Roman" w:hAnsi="Times New Roman" w:cs="Times New Roman"/>
          <w:sz w:val="24"/>
          <w:szCs w:val="24"/>
        </w:rPr>
        <w:t xml:space="preserve">The annual growth rate of Islamic bank total asset in Malaysia was about 18.6 percent between 2008 and 2012. In contrast, conventional banking assets growth was about 9.3 percent during the same time period. In addition, the Islamic banking assets in Malaysia are more than USD132 billion as at end November 2013 without take into account the Development Financial Institution (DFIs) and </w:t>
      </w:r>
      <w:r w:rsidR="008402F8" w:rsidRPr="000D1D1D">
        <w:rPr>
          <w:rFonts w:ascii="Times New Roman" w:hAnsi="Times New Roman" w:cs="Times New Roman"/>
          <w:sz w:val="24"/>
          <w:szCs w:val="24"/>
        </w:rPr>
        <w:t xml:space="preserve">the </w:t>
      </w:r>
      <w:r w:rsidR="00885B70" w:rsidRPr="000D1D1D">
        <w:rPr>
          <w:rFonts w:ascii="Times New Roman" w:hAnsi="Times New Roman" w:cs="Times New Roman"/>
          <w:sz w:val="24"/>
          <w:szCs w:val="24"/>
        </w:rPr>
        <w:t>worldwide with DFIs statistics, Malaysian Islamic banking total assets represent 13 percent share of global Islamic banking.</w:t>
      </w:r>
      <w:r w:rsidR="002A3007" w:rsidRPr="000D1D1D">
        <w:rPr>
          <w:rFonts w:ascii="Times New Roman" w:hAnsi="Times New Roman" w:cs="Times New Roman"/>
          <w:sz w:val="24"/>
          <w:szCs w:val="24"/>
        </w:rPr>
        <w:t xml:space="preserve"> This further shows that this industry popularly gaining acceptance from public especially from non-Muslim customer</w:t>
      </w:r>
      <w:r w:rsidR="00504436" w:rsidRPr="000D1D1D">
        <w:rPr>
          <w:rFonts w:ascii="Times New Roman" w:hAnsi="Times New Roman" w:cs="Times New Roman"/>
          <w:sz w:val="24"/>
          <w:szCs w:val="24"/>
        </w:rPr>
        <w:t xml:space="preserve"> (MIFC, 2013)</w:t>
      </w:r>
      <w:r w:rsidR="002A3007" w:rsidRPr="000D1D1D">
        <w:rPr>
          <w:rFonts w:ascii="Times New Roman" w:hAnsi="Times New Roman" w:cs="Times New Roman"/>
          <w:sz w:val="24"/>
          <w:szCs w:val="24"/>
        </w:rPr>
        <w:t xml:space="preserve">. </w:t>
      </w:r>
      <w:r w:rsidR="00885B70" w:rsidRPr="000D1D1D">
        <w:rPr>
          <w:rFonts w:ascii="Times New Roman" w:hAnsi="Times New Roman" w:cs="Times New Roman"/>
          <w:sz w:val="24"/>
          <w:szCs w:val="24"/>
        </w:rPr>
        <w:t xml:space="preserve"> As the total asset size increases, it</w:t>
      </w:r>
      <w:r w:rsidR="002A3007" w:rsidRPr="000D1D1D">
        <w:rPr>
          <w:rFonts w:ascii="Times New Roman" w:hAnsi="Times New Roman" w:cs="Times New Roman"/>
          <w:sz w:val="24"/>
          <w:szCs w:val="24"/>
        </w:rPr>
        <w:t>’</w:t>
      </w:r>
      <w:r w:rsidR="00885B70" w:rsidRPr="000D1D1D">
        <w:rPr>
          <w:rFonts w:ascii="Times New Roman" w:hAnsi="Times New Roman" w:cs="Times New Roman"/>
          <w:sz w:val="24"/>
          <w:szCs w:val="24"/>
        </w:rPr>
        <w:t>s indicates that this industry is highly s</w:t>
      </w:r>
      <w:r w:rsidR="002A3007" w:rsidRPr="000D1D1D">
        <w:rPr>
          <w:rFonts w:ascii="Times New Roman" w:hAnsi="Times New Roman" w:cs="Times New Roman"/>
          <w:sz w:val="24"/>
          <w:szCs w:val="24"/>
        </w:rPr>
        <w:t>t</w:t>
      </w:r>
      <w:r w:rsidR="00885B70" w:rsidRPr="000D1D1D">
        <w:rPr>
          <w:rFonts w:ascii="Times New Roman" w:hAnsi="Times New Roman" w:cs="Times New Roman"/>
          <w:sz w:val="24"/>
          <w:szCs w:val="24"/>
        </w:rPr>
        <w:t>able</w:t>
      </w:r>
      <w:r w:rsidR="002A3007" w:rsidRPr="000D1D1D">
        <w:rPr>
          <w:rFonts w:ascii="Times New Roman" w:hAnsi="Times New Roman" w:cs="Times New Roman"/>
          <w:sz w:val="24"/>
          <w:szCs w:val="24"/>
        </w:rPr>
        <w:t xml:space="preserve"> in term market capitalisation where it can build an inclusive financial system and replace the shadow </w:t>
      </w:r>
      <w:r w:rsidR="00885B70" w:rsidRPr="000D1D1D">
        <w:rPr>
          <w:rFonts w:ascii="Times New Roman" w:hAnsi="Times New Roman" w:cs="Times New Roman"/>
          <w:sz w:val="24"/>
          <w:szCs w:val="24"/>
        </w:rPr>
        <w:t>economy</w:t>
      </w:r>
      <w:r w:rsidR="002A3007" w:rsidRPr="000D1D1D">
        <w:rPr>
          <w:rFonts w:ascii="Times New Roman" w:hAnsi="Times New Roman" w:cs="Times New Roman"/>
          <w:sz w:val="24"/>
          <w:szCs w:val="24"/>
        </w:rPr>
        <w:t xml:space="preserve"> and indirectly contributes to the economic growth</w:t>
      </w:r>
      <w:r w:rsidR="00885B70" w:rsidRPr="000D1D1D">
        <w:rPr>
          <w:rFonts w:ascii="Times New Roman" w:hAnsi="Times New Roman" w:cs="Times New Roman"/>
          <w:sz w:val="24"/>
          <w:szCs w:val="24"/>
        </w:rPr>
        <w:t>.</w:t>
      </w:r>
      <w:r w:rsidR="002A3007" w:rsidRPr="000D1D1D">
        <w:rPr>
          <w:rFonts w:ascii="Times New Roman" w:hAnsi="Times New Roman" w:cs="Times New Roman"/>
          <w:sz w:val="24"/>
          <w:szCs w:val="24"/>
        </w:rPr>
        <w:t xml:space="preserve"> This finding supports Yusof and </w:t>
      </w:r>
      <w:r w:rsidR="002A3007" w:rsidRPr="000D1D1D">
        <w:rPr>
          <w:rFonts w:ascii="Times New Roman" w:hAnsi="Times New Roman" w:cs="Times New Roman"/>
          <w:color w:val="000000"/>
          <w:sz w:val="24"/>
          <w:szCs w:val="24"/>
          <w:shd w:val="clear" w:color="auto" w:fill="FFFFFF"/>
        </w:rPr>
        <w:t>Bahlous (2013)</w:t>
      </w:r>
      <w:r w:rsidR="00505733" w:rsidRPr="000D1D1D">
        <w:rPr>
          <w:rFonts w:ascii="Times New Roman" w:hAnsi="Times New Roman" w:cs="Times New Roman"/>
          <w:color w:val="000000"/>
          <w:sz w:val="24"/>
          <w:szCs w:val="24"/>
          <w:shd w:val="clear" w:color="auto" w:fill="FFFFFF"/>
        </w:rPr>
        <w:t xml:space="preserve"> findings</w:t>
      </w:r>
      <w:r w:rsidR="00504436" w:rsidRPr="000D1D1D">
        <w:rPr>
          <w:rFonts w:ascii="Times New Roman" w:hAnsi="Times New Roman" w:cs="Times New Roman"/>
          <w:color w:val="000000"/>
          <w:sz w:val="24"/>
          <w:szCs w:val="24"/>
          <w:shd w:val="clear" w:color="auto" w:fill="FFFFFF"/>
        </w:rPr>
        <w:t xml:space="preserve"> where they have </w:t>
      </w:r>
      <w:r w:rsidR="002A3007" w:rsidRPr="000D1D1D">
        <w:rPr>
          <w:rFonts w:ascii="Times New Roman" w:hAnsi="Times New Roman" w:cs="Times New Roman"/>
          <w:color w:val="000000"/>
          <w:sz w:val="24"/>
          <w:szCs w:val="24"/>
          <w:shd w:val="clear" w:color="auto" w:fill="FFFFFF"/>
        </w:rPr>
        <w:t>ut</w:t>
      </w:r>
      <w:r w:rsidR="00504436" w:rsidRPr="000D1D1D">
        <w:rPr>
          <w:rFonts w:ascii="Times New Roman" w:hAnsi="Times New Roman" w:cs="Times New Roman"/>
          <w:color w:val="000000"/>
          <w:sz w:val="24"/>
          <w:szCs w:val="24"/>
          <w:shd w:val="clear" w:color="auto" w:fill="FFFFFF"/>
        </w:rPr>
        <w:t>ilized the panel</w:t>
      </w:r>
      <w:r w:rsidR="002A3007" w:rsidRPr="000D1D1D">
        <w:rPr>
          <w:rFonts w:ascii="Times New Roman" w:hAnsi="Times New Roman" w:cs="Times New Roman"/>
          <w:color w:val="000000"/>
          <w:sz w:val="24"/>
          <w:szCs w:val="24"/>
          <w:shd w:val="clear" w:color="auto" w:fill="FFFFFF"/>
        </w:rPr>
        <w:t xml:space="preserve"> </w:t>
      </w:r>
      <w:r w:rsidR="00504436" w:rsidRPr="000D1D1D">
        <w:rPr>
          <w:rFonts w:ascii="Times New Roman" w:hAnsi="Times New Roman" w:cs="Times New Roman"/>
          <w:color w:val="000000"/>
          <w:sz w:val="24"/>
          <w:szCs w:val="24"/>
          <w:shd w:val="clear" w:color="auto" w:fill="FFFFFF"/>
        </w:rPr>
        <w:t>cointegration</w:t>
      </w:r>
      <w:r w:rsidR="002A3007" w:rsidRPr="000D1D1D">
        <w:rPr>
          <w:rFonts w:ascii="Times New Roman" w:hAnsi="Times New Roman" w:cs="Times New Roman"/>
          <w:color w:val="000000"/>
          <w:sz w:val="24"/>
          <w:szCs w:val="24"/>
          <w:shd w:val="clear" w:color="auto" w:fill="FFFFFF"/>
        </w:rPr>
        <w:t xml:space="preserve"> analysis, they found that Islamic bank total assets contribute to economic growth both in the long run and the short run for both GCC countries and selected East Asia countries including Malaysia. </w:t>
      </w:r>
      <w:r w:rsidR="00504436" w:rsidRPr="000D1D1D">
        <w:rPr>
          <w:rFonts w:ascii="Times New Roman" w:hAnsi="Times New Roman" w:cs="Times New Roman"/>
          <w:color w:val="000000"/>
          <w:sz w:val="24"/>
          <w:szCs w:val="24"/>
          <w:shd w:val="clear" w:color="auto" w:fill="FFFFFF"/>
        </w:rPr>
        <w:t xml:space="preserve">In addition, </w:t>
      </w:r>
      <w:r w:rsidR="00504436" w:rsidRPr="000D1D1D">
        <w:rPr>
          <w:rFonts w:ascii="Times New Roman" w:hAnsi="Times New Roman" w:cs="Times New Roman"/>
          <w:color w:val="000000"/>
          <w:sz w:val="24"/>
          <w:szCs w:val="24"/>
        </w:rPr>
        <w:t>they have also postulated that in the short run Islamic banking contributes more to economic growth in Malaysia and Indonesia compared to the GCC countries. The same was result found by Abduh an</w:t>
      </w:r>
      <w:r w:rsidR="00C553B8" w:rsidRPr="000D1D1D">
        <w:rPr>
          <w:rFonts w:ascii="Times New Roman" w:hAnsi="Times New Roman" w:cs="Times New Roman"/>
          <w:color w:val="000000"/>
          <w:sz w:val="24"/>
          <w:szCs w:val="24"/>
        </w:rPr>
        <w:t xml:space="preserve">d Omar </w:t>
      </w:r>
      <w:r w:rsidR="00505733" w:rsidRPr="000D1D1D">
        <w:rPr>
          <w:rFonts w:ascii="Times New Roman" w:hAnsi="Times New Roman" w:cs="Times New Roman"/>
          <w:color w:val="000000"/>
          <w:sz w:val="24"/>
          <w:szCs w:val="24"/>
        </w:rPr>
        <w:t>(</w:t>
      </w:r>
      <w:r w:rsidR="00C553B8" w:rsidRPr="000D1D1D">
        <w:rPr>
          <w:rFonts w:ascii="Times New Roman" w:hAnsi="Times New Roman" w:cs="Times New Roman"/>
          <w:color w:val="000000"/>
          <w:sz w:val="24"/>
          <w:szCs w:val="24"/>
        </w:rPr>
        <w:t>2012</w:t>
      </w:r>
      <w:r w:rsidR="00505733" w:rsidRPr="000D1D1D">
        <w:rPr>
          <w:rFonts w:ascii="Times New Roman" w:hAnsi="Times New Roman" w:cs="Times New Roman"/>
          <w:color w:val="000000"/>
          <w:sz w:val="24"/>
          <w:szCs w:val="24"/>
        </w:rPr>
        <w:t>)</w:t>
      </w:r>
      <w:r w:rsidR="00C553B8" w:rsidRPr="000D1D1D">
        <w:rPr>
          <w:rFonts w:ascii="Times New Roman" w:hAnsi="Times New Roman" w:cs="Times New Roman"/>
          <w:color w:val="000000"/>
          <w:sz w:val="24"/>
          <w:szCs w:val="24"/>
        </w:rPr>
        <w:t xml:space="preserve"> for Indonesian market by adopting ARDL approach. </w:t>
      </w:r>
    </w:p>
    <w:p w:rsidR="00450DF8" w:rsidRPr="000D1D1D" w:rsidRDefault="005608A9" w:rsidP="00D15C91">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As for Islamic bank non – performing loan (NPL), an inverse relationship between NPL and economic growth (p=0.001) is recorded. Generally speaking, NPL is one of the most important factors where causing reluctance for the banks to provide credit assistance to the borrower. The higher the NPL, it requires bank to raise provision for loan loss, and subsequently causes bank revenue to decrease because of cutting down the fund for new lending. As for Islamic bank, many empirical literatures have proven that NPL for Islamic bank are much lower in compared </w:t>
      </w:r>
      <w:r w:rsidR="00EA15D8" w:rsidRPr="000D1D1D">
        <w:rPr>
          <w:rFonts w:ascii="Times New Roman" w:hAnsi="Times New Roman" w:cs="Times New Roman"/>
          <w:sz w:val="24"/>
          <w:szCs w:val="24"/>
        </w:rPr>
        <w:t xml:space="preserve">with </w:t>
      </w:r>
      <w:r w:rsidRPr="000D1D1D">
        <w:rPr>
          <w:rFonts w:ascii="Times New Roman" w:hAnsi="Times New Roman" w:cs="Times New Roman"/>
          <w:sz w:val="24"/>
          <w:szCs w:val="24"/>
        </w:rPr>
        <w:t xml:space="preserve">conventional bank as Islamic bank practices </w:t>
      </w:r>
      <w:r w:rsidR="00EA15D8" w:rsidRPr="000D1D1D">
        <w:rPr>
          <w:rFonts w:ascii="Times New Roman" w:hAnsi="Times New Roman" w:cs="Times New Roman"/>
          <w:sz w:val="24"/>
          <w:szCs w:val="24"/>
        </w:rPr>
        <w:t xml:space="preserve">is based on </w:t>
      </w:r>
      <w:r w:rsidRPr="000D1D1D">
        <w:rPr>
          <w:rFonts w:ascii="Times New Roman" w:hAnsi="Times New Roman" w:cs="Times New Roman"/>
          <w:sz w:val="24"/>
          <w:szCs w:val="24"/>
        </w:rPr>
        <w:t xml:space="preserve">profit and loss sharing basis. Lower the level of NPL, lower would be the default risk in Islamic </w:t>
      </w:r>
      <w:r w:rsidRPr="000D1D1D">
        <w:rPr>
          <w:rFonts w:ascii="Times New Roman" w:hAnsi="Times New Roman" w:cs="Times New Roman"/>
          <w:sz w:val="24"/>
          <w:szCs w:val="24"/>
        </w:rPr>
        <w:lastRenderedPageBreak/>
        <w:t xml:space="preserve">bank which can indirectly contribute to the higher economic growth. This negative relationship is also similar with past studies in regards Malaysian Islamic bank relationship with economic growth by Ryu et.al (2012), Rahim and Zakaria (2013) where they </w:t>
      </w:r>
      <w:proofErr w:type="gramStart"/>
      <w:r w:rsidRPr="000D1D1D">
        <w:rPr>
          <w:rFonts w:ascii="Times New Roman" w:hAnsi="Times New Roman" w:cs="Times New Roman"/>
          <w:sz w:val="24"/>
          <w:szCs w:val="24"/>
        </w:rPr>
        <w:t>suggests</w:t>
      </w:r>
      <w:proofErr w:type="gramEnd"/>
      <w:r w:rsidRPr="000D1D1D">
        <w:rPr>
          <w:rFonts w:ascii="Times New Roman" w:hAnsi="Times New Roman" w:cs="Times New Roman"/>
          <w:sz w:val="24"/>
          <w:szCs w:val="24"/>
        </w:rPr>
        <w:t xml:space="preserve"> that Islamic banking system in Malaysia are much more stable and sound in term of lower NPL level (low default risk) compared with conventional banking (high default risk due to higher NPL where it has contributed positively towards economic growth. </w:t>
      </w:r>
    </w:p>
    <w:p w:rsidR="00842BCC" w:rsidRPr="000D1D1D" w:rsidRDefault="00842BCC" w:rsidP="000D1D1D">
      <w:pPr>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The diagnostic test </w:t>
      </w:r>
      <w:proofErr w:type="gramStart"/>
      <w:r w:rsidRPr="000D1D1D">
        <w:rPr>
          <w:rFonts w:ascii="Times New Roman" w:hAnsi="Times New Roman" w:cs="Times New Roman"/>
          <w:sz w:val="24"/>
          <w:szCs w:val="24"/>
        </w:rPr>
        <w:t>have</w:t>
      </w:r>
      <w:proofErr w:type="gramEnd"/>
      <w:r w:rsidRPr="000D1D1D">
        <w:rPr>
          <w:rFonts w:ascii="Times New Roman" w:hAnsi="Times New Roman" w:cs="Times New Roman"/>
          <w:sz w:val="24"/>
          <w:szCs w:val="24"/>
        </w:rPr>
        <w:t xml:space="preserve"> been conducted to test the robustness of the error correction model and the result shows there was no evidence to prove normality failure, serial correlation and Autoregressive Conditional Heteroscedasticity (ARCH) effect in the disturbance. Therefore, we conclude that the model is pertinent for this study. </w:t>
      </w:r>
    </w:p>
    <w:p w:rsidR="00A6689D" w:rsidRPr="000D1D1D" w:rsidRDefault="00A6689D" w:rsidP="00A6689D">
      <w:pPr>
        <w:tabs>
          <w:tab w:val="left" w:pos="2534"/>
        </w:tabs>
        <w:rPr>
          <w:rFonts w:ascii="Times New Roman" w:hAnsi="Times New Roman" w:cs="Times New Roman"/>
          <w:b/>
          <w:sz w:val="24"/>
          <w:szCs w:val="24"/>
        </w:rPr>
      </w:pPr>
      <w:r w:rsidRPr="000D1D1D">
        <w:rPr>
          <w:rFonts w:ascii="Times New Roman" w:hAnsi="Times New Roman" w:cs="Times New Roman"/>
          <w:b/>
          <w:sz w:val="24"/>
          <w:szCs w:val="24"/>
        </w:rPr>
        <w:t>Granger Causality Test</w:t>
      </w:r>
    </w:p>
    <w:p w:rsidR="00A6689D" w:rsidRPr="000D1D1D" w:rsidRDefault="00A6689D" w:rsidP="00A6689D">
      <w:pPr>
        <w:jc w:val="both"/>
        <w:rPr>
          <w:rFonts w:ascii="Times New Roman" w:hAnsi="Times New Roman" w:cs="Times New Roman"/>
          <w:sz w:val="24"/>
          <w:szCs w:val="24"/>
        </w:rPr>
      </w:pPr>
      <w:r w:rsidRPr="000D1D1D">
        <w:rPr>
          <w:rFonts w:ascii="Times New Roman" w:eastAsia="Calibri" w:hAnsi="Times New Roman" w:cs="Times New Roman"/>
          <w:sz w:val="24"/>
          <w:szCs w:val="24"/>
        </w:rPr>
        <w:t>After estimating the long-run VECM model, then we proceed to the short</w:t>
      </w:r>
      <w:r w:rsidR="00637A6D" w:rsidRPr="000D1D1D">
        <w:rPr>
          <w:rFonts w:ascii="Times New Roman" w:eastAsia="Calibri" w:hAnsi="Times New Roman" w:cs="Times New Roman"/>
          <w:sz w:val="24"/>
          <w:szCs w:val="24"/>
        </w:rPr>
        <w:t xml:space="preserve"> run Granger C</w:t>
      </w:r>
      <w:r w:rsidRPr="000D1D1D">
        <w:rPr>
          <w:rFonts w:ascii="Times New Roman" w:eastAsia="Calibri" w:hAnsi="Times New Roman" w:cs="Times New Roman"/>
          <w:sz w:val="24"/>
          <w:szCs w:val="24"/>
        </w:rPr>
        <w:t>ausality test</w:t>
      </w:r>
      <w:r w:rsidRPr="000D1D1D">
        <w:rPr>
          <w:rFonts w:ascii="Times New Roman" w:hAnsi="Times New Roman" w:cs="Times New Roman"/>
          <w:sz w:val="24"/>
          <w:szCs w:val="24"/>
        </w:rPr>
        <w:t xml:space="preserve">. With Cointegration, the dynamic causal interactions among the variables should be phrased in a vector error correction form. This allows us to assess both long-run and short-run causality, respectively, on the </w:t>
      </w:r>
      <w:r w:rsidRPr="000D1D1D">
        <w:rPr>
          <w:rFonts w:ascii="Times New Roman" w:hAnsi="Times New Roman" w:cs="Times New Roman"/>
          <w:position w:val="-10"/>
          <w:sz w:val="24"/>
          <w:szCs w:val="24"/>
        </w:rPr>
        <w:object w:dxaOrig="340" w:dyaOrig="360">
          <v:shape id="_x0000_i1028" type="#_x0000_t75" style="width:16.15pt;height:17.4pt" o:ole="">
            <v:imagedata r:id="rId18" o:title=""/>
          </v:shape>
          <o:OLEObject Type="Embed" ProgID="Equation.3" ShapeID="_x0000_i1028" DrawAspect="Content" ObjectID="_1557228828" r:id="rId19"/>
        </w:object>
      </w:r>
      <w:r w:rsidRPr="000D1D1D">
        <w:rPr>
          <w:rFonts w:ascii="Times New Roman" w:hAnsi="Times New Roman" w:cs="Times New Roman"/>
          <w:sz w:val="24"/>
          <w:szCs w:val="24"/>
        </w:rPr>
        <w:t xml:space="preserve">-test of the lagged first differenced terms for each right-hand-side variable and the t-test of the error correction term. The results of the test are presented in Table 4 and the </w:t>
      </w:r>
      <w:r w:rsidR="000D1D1D" w:rsidRPr="000D1D1D">
        <w:rPr>
          <w:rFonts w:ascii="Times New Roman" w:hAnsi="Times New Roman" w:cs="Times New Roman"/>
          <w:sz w:val="24"/>
          <w:szCs w:val="24"/>
        </w:rPr>
        <w:t>causal channels</w:t>
      </w:r>
      <w:r w:rsidRPr="000D1D1D">
        <w:rPr>
          <w:rFonts w:ascii="Times New Roman" w:hAnsi="Times New Roman" w:cs="Times New Roman"/>
          <w:sz w:val="24"/>
          <w:szCs w:val="24"/>
        </w:rPr>
        <w:t xml:space="preserve"> is summarised in Table 5.</w:t>
      </w:r>
    </w:p>
    <w:p w:rsidR="00A6689D" w:rsidRPr="000D1D1D" w:rsidRDefault="001F7518" w:rsidP="00A6689D">
      <w:pPr>
        <w:jc w:val="center"/>
        <w:rPr>
          <w:rFonts w:ascii="Times New Roman" w:hAnsi="Times New Roman" w:cs="Times New Roman"/>
          <w:sz w:val="24"/>
          <w:szCs w:val="24"/>
        </w:rPr>
      </w:pPr>
      <w:r w:rsidRPr="000D1D1D">
        <w:rPr>
          <w:rFonts w:ascii="Times New Roman" w:hAnsi="Times New Roman" w:cs="Times New Roman"/>
          <w:b/>
          <w:sz w:val="24"/>
          <w:szCs w:val="24"/>
        </w:rPr>
        <w:t>Table 5</w:t>
      </w:r>
      <w:r w:rsidR="00A6689D" w:rsidRPr="000D1D1D">
        <w:rPr>
          <w:rFonts w:ascii="Times New Roman" w:hAnsi="Times New Roman" w:cs="Times New Roman"/>
          <w:b/>
          <w:sz w:val="24"/>
          <w:szCs w:val="24"/>
        </w:rPr>
        <w:t>: Granger Causality Results Based on VECM</w:t>
      </w:r>
    </w:p>
    <w:tbl>
      <w:tblPr>
        <w:tblW w:w="10160" w:type="dxa"/>
        <w:jc w:val="center"/>
        <w:tblLook w:val="01E0" w:firstRow="1" w:lastRow="1" w:firstColumn="1" w:lastColumn="1" w:noHBand="0" w:noVBand="0"/>
      </w:tblPr>
      <w:tblGrid>
        <w:gridCol w:w="1448"/>
        <w:gridCol w:w="1340"/>
        <w:gridCol w:w="1481"/>
        <w:gridCol w:w="1236"/>
        <w:gridCol w:w="1627"/>
        <w:gridCol w:w="1516"/>
        <w:gridCol w:w="1512"/>
      </w:tblGrid>
      <w:tr w:rsidR="00A6689D" w:rsidRPr="000D1D1D" w:rsidTr="00BE3CDB">
        <w:trPr>
          <w:trHeight w:val="315"/>
          <w:jc w:val="center"/>
        </w:trPr>
        <w:tc>
          <w:tcPr>
            <w:tcW w:w="1448" w:type="dxa"/>
            <w:tcBorders>
              <w:top w:val="single" w:sz="4" w:space="0" w:color="auto"/>
              <w:bottom w:val="single" w:sz="4" w:space="0" w:color="auto"/>
            </w:tcBorders>
          </w:tcPr>
          <w:p w:rsidR="00A6689D" w:rsidRPr="000D1D1D" w:rsidRDefault="00A6689D" w:rsidP="00BE3CDB">
            <w:pPr>
              <w:pStyle w:val="NoSpacing"/>
              <w:rPr>
                <w:rFonts w:ascii="Times New Roman" w:hAnsi="Times New Roman" w:cs="Times New Roman"/>
                <w:sz w:val="24"/>
                <w:szCs w:val="24"/>
              </w:rPr>
            </w:pPr>
          </w:p>
        </w:tc>
        <w:tc>
          <w:tcPr>
            <w:tcW w:w="5684" w:type="dxa"/>
            <w:gridSpan w:val="4"/>
            <w:tcBorders>
              <w:top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Independent Variables</w:t>
            </w:r>
          </w:p>
        </w:tc>
        <w:tc>
          <w:tcPr>
            <w:tcW w:w="1516" w:type="dxa"/>
            <w:tcBorders>
              <w:top w:val="single" w:sz="4" w:space="0" w:color="auto"/>
              <w:bottom w:val="single" w:sz="4" w:space="0" w:color="auto"/>
            </w:tcBorders>
          </w:tcPr>
          <w:p w:rsidR="00A6689D" w:rsidRPr="000D1D1D" w:rsidRDefault="00A6689D" w:rsidP="00BE3CDB">
            <w:pPr>
              <w:pStyle w:val="NoSpacing"/>
              <w:rPr>
                <w:rFonts w:ascii="Times New Roman" w:hAnsi="Times New Roman" w:cs="Times New Roman"/>
                <w:sz w:val="24"/>
                <w:szCs w:val="24"/>
              </w:rPr>
            </w:pPr>
          </w:p>
        </w:tc>
        <w:tc>
          <w:tcPr>
            <w:tcW w:w="1512" w:type="dxa"/>
            <w:tcBorders>
              <w:top w:val="single" w:sz="4" w:space="0" w:color="auto"/>
              <w:bottom w:val="single" w:sz="4" w:space="0" w:color="auto"/>
            </w:tcBorders>
          </w:tcPr>
          <w:p w:rsidR="00A6689D" w:rsidRPr="000D1D1D" w:rsidRDefault="00A6689D" w:rsidP="00BE3CDB">
            <w:pPr>
              <w:pStyle w:val="NoSpacing"/>
              <w:rPr>
                <w:rFonts w:ascii="Times New Roman" w:hAnsi="Times New Roman" w:cs="Times New Roman"/>
                <w:sz w:val="24"/>
                <w:szCs w:val="24"/>
              </w:rPr>
            </w:pPr>
          </w:p>
        </w:tc>
      </w:tr>
      <w:tr w:rsidR="00A6689D" w:rsidRPr="000D1D1D" w:rsidTr="00BE3CDB">
        <w:trPr>
          <w:trHeight w:val="350"/>
          <w:jc w:val="center"/>
        </w:trPr>
        <w:tc>
          <w:tcPr>
            <w:tcW w:w="1448" w:type="dxa"/>
            <w:tcBorders>
              <w:top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Dependent</w:t>
            </w:r>
          </w:p>
        </w:tc>
        <w:tc>
          <w:tcPr>
            <w:tcW w:w="7200" w:type="dxa"/>
            <w:gridSpan w:val="5"/>
            <w:tcBorders>
              <w:top w:val="single" w:sz="4" w:space="0" w:color="auto"/>
              <w:left w:val="single" w:sz="4" w:space="0" w:color="auto"/>
              <w:bottom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position w:val="-10"/>
                <w:sz w:val="24"/>
                <w:szCs w:val="24"/>
              </w:rPr>
              <w:object w:dxaOrig="340" w:dyaOrig="360">
                <v:shape id="_x0000_i1029" type="#_x0000_t75" style="width:17.4pt;height:18.6pt" o:ole="">
                  <v:imagedata r:id="rId18" o:title=""/>
                </v:shape>
                <o:OLEObject Type="Embed" ProgID="Equation.3" ShapeID="_x0000_i1029" DrawAspect="Content" ObjectID="_1557228829" r:id="rId20"/>
              </w:object>
            </w:r>
            <w:r w:rsidRPr="000D1D1D">
              <w:rPr>
                <w:rFonts w:ascii="Times New Roman" w:hAnsi="Times New Roman" w:cs="Times New Roman"/>
                <w:sz w:val="24"/>
                <w:szCs w:val="24"/>
              </w:rPr>
              <w:t>-statistics of lagged 1</w:t>
            </w:r>
            <w:r w:rsidRPr="000D1D1D">
              <w:rPr>
                <w:rFonts w:ascii="Times New Roman" w:hAnsi="Times New Roman" w:cs="Times New Roman"/>
                <w:sz w:val="24"/>
                <w:szCs w:val="24"/>
                <w:vertAlign w:val="superscript"/>
              </w:rPr>
              <w:t>st</w:t>
            </w:r>
            <w:r w:rsidRPr="000D1D1D">
              <w:rPr>
                <w:rFonts w:ascii="Times New Roman" w:hAnsi="Times New Roman" w:cs="Times New Roman"/>
                <w:sz w:val="24"/>
                <w:szCs w:val="24"/>
              </w:rPr>
              <w:t xml:space="preserve"> differenced term</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[p-value]</w:t>
            </w:r>
          </w:p>
        </w:tc>
        <w:tc>
          <w:tcPr>
            <w:tcW w:w="1512" w:type="dxa"/>
            <w:tcBorders>
              <w:top w:val="single" w:sz="4" w:space="0" w:color="auto"/>
              <w:left w:val="single" w:sz="4" w:space="0" w:color="auto"/>
            </w:tcBorders>
          </w:tcPr>
          <w:p w:rsidR="00A6689D" w:rsidRPr="000D1D1D" w:rsidRDefault="00A6689D" w:rsidP="00BE3CDB">
            <w:pPr>
              <w:pStyle w:val="NoSpacing"/>
              <w:jc w:val="center"/>
              <w:rPr>
                <w:rFonts w:ascii="Times New Roman" w:hAnsi="Times New Roman" w:cs="Times New Roman"/>
                <w:sz w:val="24"/>
                <w:szCs w:val="24"/>
                <w:vertAlign w:val="subscript"/>
              </w:rPr>
            </w:pPr>
            <w:r w:rsidRPr="000D1D1D">
              <w:rPr>
                <w:rFonts w:ascii="Times New Roman" w:hAnsi="Times New Roman" w:cs="Times New Roman"/>
                <w:sz w:val="24"/>
                <w:szCs w:val="24"/>
              </w:rPr>
              <w:t>ECT</w:t>
            </w:r>
            <w:r w:rsidRPr="000D1D1D">
              <w:rPr>
                <w:rFonts w:ascii="Times New Roman" w:hAnsi="Times New Roman" w:cs="Times New Roman"/>
                <w:sz w:val="24"/>
                <w:szCs w:val="24"/>
                <w:vertAlign w:val="subscript"/>
              </w:rPr>
              <w:t>t-1</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coefficient</w:t>
            </w:r>
          </w:p>
        </w:tc>
      </w:tr>
      <w:tr w:rsidR="00A6689D" w:rsidRPr="000D1D1D" w:rsidTr="00BE3CDB">
        <w:trPr>
          <w:trHeight w:val="315"/>
          <w:jc w:val="center"/>
        </w:trPr>
        <w:tc>
          <w:tcPr>
            <w:tcW w:w="1448" w:type="dxa"/>
            <w:tcBorders>
              <w:bottom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Variable</w:t>
            </w:r>
          </w:p>
        </w:tc>
        <w:tc>
          <w:tcPr>
            <w:tcW w:w="1340" w:type="dxa"/>
            <w:tcBorders>
              <w:top w:val="single" w:sz="4" w:space="0" w:color="auto"/>
              <w:left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ΔLNRGDP</w:t>
            </w:r>
          </w:p>
        </w:tc>
        <w:tc>
          <w:tcPr>
            <w:tcW w:w="1481" w:type="dxa"/>
            <w:tcBorders>
              <w:top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ΔLNTDIB</w:t>
            </w:r>
          </w:p>
        </w:tc>
        <w:tc>
          <w:tcPr>
            <w:tcW w:w="1236" w:type="dxa"/>
            <w:tcBorders>
              <w:top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ΔLNTFIB</w:t>
            </w:r>
          </w:p>
        </w:tc>
        <w:tc>
          <w:tcPr>
            <w:tcW w:w="1627" w:type="dxa"/>
            <w:tcBorders>
              <w:top w:val="single" w:sz="4" w:space="0" w:color="auto"/>
              <w:bottom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ΔLNTAIB</w:t>
            </w:r>
          </w:p>
        </w:tc>
        <w:tc>
          <w:tcPr>
            <w:tcW w:w="1516" w:type="dxa"/>
            <w:tcBorders>
              <w:top w:val="single" w:sz="4" w:space="0" w:color="auto"/>
              <w:left w:val="single" w:sz="4" w:space="0" w:color="auto"/>
              <w:bottom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ΔLNNPLIB</w:t>
            </w:r>
          </w:p>
        </w:tc>
        <w:tc>
          <w:tcPr>
            <w:tcW w:w="1512" w:type="dxa"/>
            <w:tcBorders>
              <w:left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(t-ratio)</w:t>
            </w:r>
          </w:p>
        </w:tc>
      </w:tr>
      <w:tr w:rsidR="00A6689D" w:rsidRPr="000D1D1D" w:rsidTr="005608A9">
        <w:trPr>
          <w:trHeight w:val="631"/>
          <w:jc w:val="center"/>
        </w:trPr>
        <w:tc>
          <w:tcPr>
            <w:tcW w:w="1448" w:type="dxa"/>
            <w:tcBorders>
              <w:top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ΔLRGDP</w:t>
            </w:r>
          </w:p>
        </w:tc>
        <w:tc>
          <w:tcPr>
            <w:tcW w:w="1340" w:type="dxa"/>
            <w:tcBorders>
              <w:top w:val="single" w:sz="4" w:space="0" w:color="auto"/>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w:t>
            </w:r>
          </w:p>
        </w:tc>
        <w:tc>
          <w:tcPr>
            <w:tcW w:w="1481" w:type="dxa"/>
            <w:tcBorders>
              <w:top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0.2475</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[0.6188]*</w:t>
            </w:r>
          </w:p>
        </w:tc>
        <w:tc>
          <w:tcPr>
            <w:tcW w:w="1236" w:type="dxa"/>
            <w:tcBorders>
              <w:top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1.5835</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[0.2082]</w:t>
            </w:r>
          </w:p>
        </w:tc>
        <w:tc>
          <w:tcPr>
            <w:tcW w:w="1627" w:type="dxa"/>
            <w:tcBorders>
              <w:top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2.9479*</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[0.0860]</w:t>
            </w:r>
          </w:p>
        </w:tc>
        <w:tc>
          <w:tcPr>
            <w:tcW w:w="1516" w:type="dxa"/>
            <w:tcBorders>
              <w:top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6.9410**</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[0.0084]</w:t>
            </w:r>
          </w:p>
          <w:p w:rsidR="00A6689D" w:rsidRPr="000D1D1D" w:rsidRDefault="00A6689D" w:rsidP="00BE3CDB">
            <w:pPr>
              <w:pStyle w:val="NoSpacing"/>
              <w:jc w:val="center"/>
              <w:rPr>
                <w:rFonts w:ascii="Times New Roman" w:hAnsi="Times New Roman" w:cs="Times New Roman"/>
                <w:sz w:val="24"/>
                <w:szCs w:val="24"/>
              </w:rPr>
            </w:pPr>
          </w:p>
        </w:tc>
        <w:tc>
          <w:tcPr>
            <w:tcW w:w="1512" w:type="dxa"/>
            <w:tcBorders>
              <w:top w:val="single" w:sz="4" w:space="0" w:color="auto"/>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-0.9348**</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(-4.3403)</w:t>
            </w:r>
          </w:p>
        </w:tc>
      </w:tr>
      <w:tr w:rsidR="00A6689D" w:rsidRPr="000D1D1D" w:rsidTr="00BE3CDB">
        <w:trPr>
          <w:trHeight w:val="315"/>
          <w:jc w:val="center"/>
        </w:trPr>
        <w:tc>
          <w:tcPr>
            <w:tcW w:w="1448"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ΔLNTDIB</w:t>
            </w:r>
          </w:p>
        </w:tc>
        <w:tc>
          <w:tcPr>
            <w:tcW w:w="1340"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2.9882*</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[0.0839]</w:t>
            </w:r>
          </w:p>
        </w:tc>
        <w:tc>
          <w:tcPr>
            <w:tcW w:w="1481" w:type="dxa"/>
          </w:tcPr>
          <w:p w:rsidR="00A6689D" w:rsidRPr="000D1D1D" w:rsidRDefault="00A6689D" w:rsidP="00BE3CDB">
            <w:pPr>
              <w:pStyle w:val="NoSpacing"/>
              <w:jc w:val="center"/>
              <w:rPr>
                <w:rFonts w:ascii="Times New Roman" w:hAnsi="Times New Roman" w:cs="Times New Roman"/>
                <w:sz w:val="24"/>
                <w:szCs w:val="24"/>
              </w:rPr>
            </w:pP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w:t>
            </w:r>
          </w:p>
        </w:tc>
        <w:tc>
          <w:tcPr>
            <w:tcW w:w="1236"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11.2954**</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[0.0008]</w:t>
            </w:r>
          </w:p>
        </w:tc>
        <w:tc>
          <w:tcPr>
            <w:tcW w:w="1627"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2.5186</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[0.1125]</w:t>
            </w:r>
          </w:p>
          <w:p w:rsidR="00A6689D" w:rsidRPr="000D1D1D" w:rsidRDefault="00A6689D" w:rsidP="00BE3CDB">
            <w:pPr>
              <w:pStyle w:val="NoSpacing"/>
              <w:jc w:val="center"/>
              <w:rPr>
                <w:rFonts w:ascii="Times New Roman" w:hAnsi="Times New Roman" w:cs="Times New Roman"/>
                <w:sz w:val="24"/>
                <w:szCs w:val="24"/>
              </w:rPr>
            </w:pPr>
          </w:p>
        </w:tc>
        <w:tc>
          <w:tcPr>
            <w:tcW w:w="1516"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12.4118***</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[0.1125]</w:t>
            </w:r>
          </w:p>
        </w:tc>
        <w:tc>
          <w:tcPr>
            <w:tcW w:w="1512"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0.3199**</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(1.8694)</w:t>
            </w:r>
          </w:p>
        </w:tc>
      </w:tr>
      <w:tr w:rsidR="00A6689D" w:rsidRPr="000D1D1D" w:rsidTr="00BE3CDB">
        <w:trPr>
          <w:trHeight w:val="315"/>
          <w:jc w:val="center"/>
        </w:trPr>
        <w:tc>
          <w:tcPr>
            <w:tcW w:w="1448"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ΔLNTFIB</w:t>
            </w:r>
          </w:p>
        </w:tc>
        <w:tc>
          <w:tcPr>
            <w:tcW w:w="1340"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0.1063</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[0.7443]</w:t>
            </w:r>
          </w:p>
        </w:tc>
        <w:tc>
          <w:tcPr>
            <w:tcW w:w="1481"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0.8490</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[0.3568]</w:t>
            </w:r>
          </w:p>
        </w:tc>
        <w:tc>
          <w:tcPr>
            <w:tcW w:w="1236" w:type="dxa"/>
          </w:tcPr>
          <w:p w:rsidR="00A6689D" w:rsidRPr="000D1D1D" w:rsidRDefault="00A6689D" w:rsidP="00BE3CDB">
            <w:pPr>
              <w:pStyle w:val="NoSpacing"/>
              <w:jc w:val="center"/>
              <w:rPr>
                <w:rFonts w:ascii="Times New Roman" w:hAnsi="Times New Roman" w:cs="Times New Roman"/>
                <w:sz w:val="24"/>
                <w:szCs w:val="24"/>
              </w:rPr>
            </w:pP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w:t>
            </w:r>
          </w:p>
        </w:tc>
        <w:tc>
          <w:tcPr>
            <w:tcW w:w="1627"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0.1265</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[0.7221]</w:t>
            </w:r>
          </w:p>
          <w:p w:rsidR="00A6689D" w:rsidRPr="000D1D1D" w:rsidRDefault="00A6689D" w:rsidP="00BE3CDB">
            <w:pPr>
              <w:pStyle w:val="NoSpacing"/>
              <w:jc w:val="center"/>
              <w:rPr>
                <w:rFonts w:ascii="Times New Roman" w:hAnsi="Times New Roman" w:cs="Times New Roman"/>
                <w:sz w:val="24"/>
                <w:szCs w:val="24"/>
              </w:rPr>
            </w:pPr>
          </w:p>
        </w:tc>
        <w:tc>
          <w:tcPr>
            <w:tcW w:w="1516"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1.6302</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[0.2017]</w:t>
            </w:r>
          </w:p>
          <w:p w:rsidR="00A6689D" w:rsidRPr="000D1D1D" w:rsidRDefault="00A6689D" w:rsidP="00BE3CDB">
            <w:pPr>
              <w:pStyle w:val="NoSpacing"/>
              <w:jc w:val="center"/>
              <w:rPr>
                <w:rFonts w:ascii="Times New Roman" w:hAnsi="Times New Roman" w:cs="Times New Roman"/>
                <w:sz w:val="24"/>
                <w:szCs w:val="24"/>
              </w:rPr>
            </w:pPr>
          </w:p>
        </w:tc>
        <w:tc>
          <w:tcPr>
            <w:tcW w:w="1512"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0.2406</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(0.7781)</w:t>
            </w:r>
          </w:p>
        </w:tc>
      </w:tr>
      <w:tr w:rsidR="00A6689D" w:rsidRPr="000D1D1D" w:rsidTr="00BE3CDB">
        <w:trPr>
          <w:trHeight w:val="315"/>
          <w:jc w:val="center"/>
        </w:trPr>
        <w:tc>
          <w:tcPr>
            <w:tcW w:w="1448"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ΔLNTAIB</w:t>
            </w:r>
          </w:p>
        </w:tc>
        <w:tc>
          <w:tcPr>
            <w:tcW w:w="1340"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0.7981</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[0.3717]</w:t>
            </w:r>
          </w:p>
        </w:tc>
        <w:tc>
          <w:tcPr>
            <w:tcW w:w="1481"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0.3362</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[0.5620]</w:t>
            </w:r>
          </w:p>
        </w:tc>
        <w:tc>
          <w:tcPr>
            <w:tcW w:w="1236"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2.4702</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[0.1160]</w:t>
            </w:r>
          </w:p>
        </w:tc>
        <w:tc>
          <w:tcPr>
            <w:tcW w:w="1627" w:type="dxa"/>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w:t>
            </w:r>
          </w:p>
        </w:tc>
        <w:tc>
          <w:tcPr>
            <w:tcW w:w="1516" w:type="dxa"/>
            <w:tcBorders>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0.7661</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[0.3814]</w:t>
            </w:r>
          </w:p>
          <w:p w:rsidR="00A6689D" w:rsidRPr="000D1D1D" w:rsidRDefault="00A6689D" w:rsidP="00BE3CDB">
            <w:pPr>
              <w:pStyle w:val="NoSpacing"/>
              <w:jc w:val="center"/>
              <w:rPr>
                <w:rFonts w:ascii="Times New Roman" w:hAnsi="Times New Roman" w:cs="Times New Roman"/>
                <w:sz w:val="24"/>
                <w:szCs w:val="24"/>
              </w:rPr>
            </w:pPr>
          </w:p>
        </w:tc>
        <w:tc>
          <w:tcPr>
            <w:tcW w:w="1512" w:type="dxa"/>
            <w:tcBorders>
              <w:lef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0.9191</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(1.5642)</w:t>
            </w:r>
          </w:p>
        </w:tc>
      </w:tr>
      <w:tr w:rsidR="00A6689D" w:rsidRPr="000D1D1D" w:rsidTr="00BE3CDB">
        <w:trPr>
          <w:trHeight w:val="315"/>
          <w:jc w:val="center"/>
        </w:trPr>
        <w:tc>
          <w:tcPr>
            <w:tcW w:w="1448" w:type="dxa"/>
            <w:tcBorders>
              <w:bottom w:val="single" w:sz="4" w:space="0" w:color="auto"/>
              <w:right w:val="single" w:sz="4" w:space="0" w:color="auto"/>
            </w:tcBorders>
          </w:tcPr>
          <w:p w:rsidR="00A6689D" w:rsidRPr="000D1D1D" w:rsidRDefault="00A6689D" w:rsidP="005608A9">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ΔLNNPLIB</w:t>
            </w:r>
          </w:p>
        </w:tc>
        <w:tc>
          <w:tcPr>
            <w:tcW w:w="1340" w:type="dxa"/>
            <w:tcBorders>
              <w:left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1.0092</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[0.3151]</w:t>
            </w:r>
          </w:p>
        </w:tc>
        <w:tc>
          <w:tcPr>
            <w:tcW w:w="1481" w:type="dxa"/>
            <w:tcBorders>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4.5494</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[0.0329]**</w:t>
            </w:r>
          </w:p>
        </w:tc>
        <w:tc>
          <w:tcPr>
            <w:tcW w:w="1236" w:type="dxa"/>
            <w:tcBorders>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3.6038</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[0.0576]*</w:t>
            </w:r>
          </w:p>
        </w:tc>
        <w:tc>
          <w:tcPr>
            <w:tcW w:w="1627" w:type="dxa"/>
            <w:tcBorders>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0.4174</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[0.5182]</w:t>
            </w:r>
          </w:p>
          <w:p w:rsidR="00A6689D" w:rsidRPr="000D1D1D" w:rsidRDefault="00A6689D" w:rsidP="00BE3CDB">
            <w:pPr>
              <w:pStyle w:val="NoSpacing"/>
              <w:jc w:val="center"/>
              <w:rPr>
                <w:rFonts w:ascii="Times New Roman" w:hAnsi="Times New Roman" w:cs="Times New Roman"/>
                <w:sz w:val="24"/>
                <w:szCs w:val="24"/>
              </w:rPr>
            </w:pPr>
          </w:p>
        </w:tc>
        <w:tc>
          <w:tcPr>
            <w:tcW w:w="1516" w:type="dxa"/>
            <w:tcBorders>
              <w:bottom w:val="single" w:sz="4" w:space="0" w:color="auto"/>
              <w:right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w:t>
            </w:r>
          </w:p>
        </w:tc>
        <w:tc>
          <w:tcPr>
            <w:tcW w:w="1512" w:type="dxa"/>
            <w:tcBorders>
              <w:left w:val="single" w:sz="4" w:space="0" w:color="auto"/>
              <w:bottom w:val="single" w:sz="4" w:space="0" w:color="auto"/>
            </w:tcBorders>
          </w:tcPr>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0.6744</w:t>
            </w:r>
          </w:p>
          <w:p w:rsidR="00A6689D" w:rsidRPr="000D1D1D" w:rsidRDefault="00A6689D" w:rsidP="00BE3CDB">
            <w:pPr>
              <w:pStyle w:val="NoSpacing"/>
              <w:jc w:val="center"/>
              <w:rPr>
                <w:rFonts w:ascii="Times New Roman" w:hAnsi="Times New Roman" w:cs="Times New Roman"/>
                <w:sz w:val="24"/>
                <w:szCs w:val="24"/>
              </w:rPr>
            </w:pPr>
            <w:r w:rsidRPr="000D1D1D">
              <w:rPr>
                <w:rFonts w:ascii="Times New Roman" w:hAnsi="Times New Roman" w:cs="Times New Roman"/>
                <w:sz w:val="24"/>
                <w:szCs w:val="24"/>
              </w:rPr>
              <w:t>(1.8462)</w:t>
            </w:r>
          </w:p>
        </w:tc>
      </w:tr>
    </w:tbl>
    <w:p w:rsidR="005608A9" w:rsidRPr="00761AC5" w:rsidRDefault="00A6689D" w:rsidP="00761AC5">
      <w:pPr>
        <w:ind w:left="630"/>
        <w:rPr>
          <w:rFonts w:ascii="Times New Roman" w:hAnsi="Times New Roman" w:cs="Times New Roman"/>
          <w:sz w:val="16"/>
          <w:szCs w:val="16"/>
        </w:rPr>
      </w:pPr>
      <w:r w:rsidRPr="006C5ADF">
        <w:rPr>
          <w:rFonts w:ascii="Times New Roman" w:hAnsi="Times New Roman" w:cs="Times New Roman"/>
          <w:b/>
          <w:sz w:val="16"/>
          <w:szCs w:val="16"/>
        </w:rPr>
        <w:t>Note</w:t>
      </w:r>
      <w:r w:rsidRPr="006C5ADF">
        <w:rPr>
          <w:rFonts w:ascii="Times New Roman" w:hAnsi="Times New Roman" w:cs="Times New Roman"/>
          <w:sz w:val="16"/>
          <w:szCs w:val="16"/>
        </w:rPr>
        <w:t xml:space="preserve">: *, ** and *** denotes significant at 10%, 5% and 1% significance level, respectively. The figure in the parenthesis (…) denote as t-statistic and the figure in the squared brackets […] represent as p-value. </w:t>
      </w:r>
    </w:p>
    <w:p w:rsidR="000D1D1D" w:rsidRDefault="000D1D1D" w:rsidP="00A6689D">
      <w:pPr>
        <w:jc w:val="center"/>
        <w:rPr>
          <w:rFonts w:ascii="Times New Roman" w:hAnsi="Times New Roman" w:cs="Times New Roman"/>
          <w:b/>
        </w:rPr>
      </w:pPr>
    </w:p>
    <w:p w:rsidR="000D1D1D" w:rsidRDefault="000D1D1D" w:rsidP="00A6689D">
      <w:pPr>
        <w:jc w:val="center"/>
        <w:rPr>
          <w:rFonts w:ascii="Times New Roman" w:hAnsi="Times New Roman" w:cs="Times New Roman"/>
          <w:b/>
        </w:rPr>
      </w:pPr>
    </w:p>
    <w:p w:rsidR="00A6689D" w:rsidRPr="000D1D1D" w:rsidRDefault="0081009A" w:rsidP="00A6689D">
      <w:pPr>
        <w:jc w:val="center"/>
        <w:rPr>
          <w:rFonts w:ascii="Times New Roman" w:hAnsi="Times New Roman" w:cs="Times New Roman"/>
          <w:b/>
          <w:sz w:val="24"/>
          <w:szCs w:val="24"/>
        </w:rPr>
      </w:pPr>
      <w:r w:rsidRPr="000D1D1D">
        <w:rPr>
          <w:rFonts w:ascii="Times New Roman" w:hAnsi="Times New Roman" w:cs="Times New Roman"/>
          <w:b/>
          <w:sz w:val="24"/>
          <w:szCs w:val="24"/>
        </w:rPr>
        <w:lastRenderedPageBreak/>
        <w:t>Figure 1</w:t>
      </w:r>
      <w:r w:rsidR="00A6689D" w:rsidRPr="000D1D1D">
        <w:rPr>
          <w:rFonts w:ascii="Times New Roman" w:hAnsi="Times New Roman" w:cs="Times New Roman"/>
          <w:b/>
          <w:sz w:val="24"/>
          <w:szCs w:val="24"/>
        </w:rPr>
        <w:t>: Causal Channel from Granger Causality Tests</w:t>
      </w:r>
    </w:p>
    <w:p w:rsidR="006C5ADF" w:rsidRPr="00761AC5" w:rsidRDefault="00A6689D" w:rsidP="00761AC5">
      <w:pPr>
        <w:tabs>
          <w:tab w:val="left" w:pos="2534"/>
        </w:tabs>
        <w:jc w:val="center"/>
        <w:rPr>
          <w:rFonts w:ascii="Times New Roman" w:hAnsi="Times New Roman" w:cs="Times New Roman"/>
          <w:b/>
        </w:rPr>
      </w:pPr>
      <w:r w:rsidRPr="00450DF8">
        <w:rPr>
          <w:rFonts w:ascii="Times New Roman" w:hAnsi="Times New Roman" w:cs="Times New Roman"/>
          <w:b/>
          <w:noProof/>
          <w:lang w:val="en-US"/>
        </w:rPr>
        <w:drawing>
          <wp:inline distT="0" distB="0" distL="0" distR="0">
            <wp:extent cx="4505325" cy="1866900"/>
            <wp:effectExtent l="38100" t="57150" r="123825" b="952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4510256" cy="18689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15C91" w:rsidRPr="000D1D1D" w:rsidRDefault="00A6689D" w:rsidP="00842BCC">
      <w:pPr>
        <w:autoSpaceDE w:val="0"/>
        <w:autoSpaceDN w:val="0"/>
        <w:adjustRightInd w:val="0"/>
        <w:spacing w:after="0"/>
        <w:ind w:firstLine="720"/>
        <w:jc w:val="both"/>
        <w:rPr>
          <w:rFonts w:ascii="Times New Roman" w:eastAsia="Times New Roman" w:hAnsi="Times New Roman" w:cs="Times New Roman"/>
          <w:sz w:val="24"/>
          <w:szCs w:val="24"/>
          <w:lang w:eastAsia="en-MY"/>
        </w:rPr>
      </w:pPr>
      <w:r w:rsidRPr="000D1D1D">
        <w:rPr>
          <w:rFonts w:ascii="Times New Roman" w:eastAsia="Times New Roman" w:hAnsi="Times New Roman" w:cs="Times New Roman"/>
          <w:sz w:val="24"/>
          <w:szCs w:val="24"/>
          <w:lang w:eastAsia="en-MY"/>
        </w:rPr>
        <w:t xml:space="preserve">As shown in the </w:t>
      </w:r>
      <w:r w:rsidR="001F7518" w:rsidRPr="000D1D1D">
        <w:rPr>
          <w:rFonts w:ascii="Times New Roman" w:eastAsia="Times New Roman" w:hAnsi="Times New Roman" w:cs="Times New Roman"/>
          <w:sz w:val="24"/>
          <w:szCs w:val="24"/>
          <w:lang w:eastAsia="en-MY"/>
        </w:rPr>
        <w:t>Table 5</w:t>
      </w:r>
      <w:r w:rsidR="00E0694D" w:rsidRPr="000D1D1D">
        <w:rPr>
          <w:rFonts w:ascii="Times New Roman" w:eastAsia="Times New Roman" w:hAnsi="Times New Roman" w:cs="Times New Roman"/>
          <w:sz w:val="24"/>
          <w:szCs w:val="24"/>
          <w:lang w:eastAsia="en-MY"/>
        </w:rPr>
        <w:t xml:space="preserve"> and </w:t>
      </w:r>
      <w:r w:rsidR="0081009A" w:rsidRPr="000D1D1D">
        <w:rPr>
          <w:rFonts w:ascii="Times New Roman" w:eastAsia="Times New Roman" w:hAnsi="Times New Roman" w:cs="Times New Roman"/>
          <w:sz w:val="24"/>
          <w:szCs w:val="24"/>
          <w:lang w:eastAsia="en-MY"/>
        </w:rPr>
        <w:t>Figure 1</w:t>
      </w:r>
      <w:r w:rsidRPr="000D1D1D">
        <w:rPr>
          <w:rFonts w:ascii="Times New Roman" w:eastAsia="Times New Roman" w:hAnsi="Times New Roman" w:cs="Times New Roman"/>
          <w:sz w:val="24"/>
          <w:szCs w:val="24"/>
          <w:lang w:eastAsia="en-MY"/>
        </w:rPr>
        <w:t>,</w:t>
      </w:r>
      <w:r w:rsidRPr="000D1D1D">
        <w:rPr>
          <w:rFonts w:ascii="Times New Roman" w:hAnsi="Times New Roman" w:cs="Times New Roman"/>
          <w:sz w:val="24"/>
          <w:szCs w:val="24"/>
        </w:rPr>
        <w:t xml:space="preserve"> it is very clear that </w:t>
      </w:r>
      <w:r w:rsidRPr="000D1D1D">
        <w:rPr>
          <w:rFonts w:ascii="Times New Roman" w:eastAsia="Times New Roman" w:hAnsi="Times New Roman" w:cs="Times New Roman"/>
          <w:sz w:val="24"/>
          <w:szCs w:val="24"/>
          <w:lang w:eastAsia="en-MY"/>
        </w:rPr>
        <w:t xml:space="preserve">in the short </w:t>
      </w:r>
      <w:r w:rsidR="007E39F5" w:rsidRPr="000D1D1D">
        <w:rPr>
          <w:rFonts w:ascii="Times New Roman" w:eastAsia="Times New Roman" w:hAnsi="Times New Roman" w:cs="Times New Roman"/>
          <w:sz w:val="24"/>
          <w:szCs w:val="24"/>
          <w:lang w:eastAsia="en-MY"/>
        </w:rPr>
        <w:t>–</w:t>
      </w:r>
      <w:r w:rsidRPr="000D1D1D">
        <w:rPr>
          <w:rFonts w:ascii="Times New Roman" w:eastAsia="Times New Roman" w:hAnsi="Times New Roman" w:cs="Times New Roman"/>
          <w:sz w:val="24"/>
          <w:szCs w:val="24"/>
          <w:lang w:eastAsia="en-MY"/>
        </w:rPr>
        <w:t xml:space="preserve"> run there is bidirectional causality</w:t>
      </w:r>
      <w:r w:rsidR="0009667F" w:rsidRPr="000D1D1D">
        <w:rPr>
          <w:rFonts w:ascii="Times New Roman" w:eastAsia="Times New Roman" w:hAnsi="Times New Roman" w:cs="Times New Roman"/>
          <w:sz w:val="24"/>
          <w:szCs w:val="24"/>
          <w:lang w:eastAsia="en-MY"/>
        </w:rPr>
        <w:t xml:space="preserve"> between LNRGDP and LNTDIB</w:t>
      </w:r>
      <w:r w:rsidRPr="000D1D1D">
        <w:rPr>
          <w:rFonts w:ascii="Times New Roman" w:eastAsia="Times New Roman" w:hAnsi="Times New Roman" w:cs="Times New Roman"/>
          <w:sz w:val="24"/>
          <w:szCs w:val="24"/>
          <w:lang w:eastAsia="en-MY"/>
        </w:rPr>
        <w:t xml:space="preserve">. </w:t>
      </w:r>
      <w:r w:rsidR="0009667F" w:rsidRPr="000D1D1D">
        <w:rPr>
          <w:rFonts w:ascii="Times New Roman" w:eastAsia="Times New Roman" w:hAnsi="Times New Roman" w:cs="Times New Roman"/>
          <w:sz w:val="24"/>
          <w:szCs w:val="24"/>
          <w:lang w:eastAsia="en-MY"/>
        </w:rPr>
        <w:t xml:space="preserve">On the other hand, bidirectional relationship is also </w:t>
      </w:r>
      <w:proofErr w:type="gramStart"/>
      <w:r w:rsidR="0009667F" w:rsidRPr="000D1D1D">
        <w:rPr>
          <w:rFonts w:ascii="Times New Roman" w:eastAsia="Times New Roman" w:hAnsi="Times New Roman" w:cs="Times New Roman"/>
          <w:sz w:val="24"/>
          <w:szCs w:val="24"/>
          <w:lang w:eastAsia="en-MY"/>
        </w:rPr>
        <w:t>exist</w:t>
      </w:r>
      <w:proofErr w:type="gramEnd"/>
      <w:r w:rsidR="0009667F" w:rsidRPr="000D1D1D">
        <w:rPr>
          <w:rFonts w:ascii="Times New Roman" w:eastAsia="Times New Roman" w:hAnsi="Times New Roman" w:cs="Times New Roman"/>
          <w:sz w:val="24"/>
          <w:szCs w:val="24"/>
          <w:lang w:eastAsia="en-MY"/>
        </w:rPr>
        <w:t xml:space="preserve"> between LNNPLIB and LNTDIB. </w:t>
      </w:r>
      <w:r w:rsidRPr="000D1D1D">
        <w:rPr>
          <w:rFonts w:ascii="Times New Roman" w:eastAsia="Times New Roman" w:hAnsi="Times New Roman" w:cs="Times New Roman"/>
          <w:sz w:val="24"/>
          <w:szCs w:val="24"/>
          <w:lang w:eastAsia="en-MY"/>
        </w:rPr>
        <w:t xml:space="preserve">Therefore, we can reject null hypothesis and </w:t>
      </w:r>
      <w:r w:rsidR="0009667F" w:rsidRPr="000D1D1D">
        <w:rPr>
          <w:rFonts w:ascii="Times New Roman" w:eastAsia="Times New Roman" w:hAnsi="Times New Roman" w:cs="Times New Roman"/>
          <w:sz w:val="24"/>
          <w:szCs w:val="24"/>
          <w:lang w:eastAsia="en-MY"/>
        </w:rPr>
        <w:t>it is significant</w:t>
      </w:r>
      <w:r w:rsidR="00D15C91" w:rsidRPr="000D1D1D">
        <w:rPr>
          <w:rFonts w:ascii="Times New Roman" w:eastAsia="Times New Roman" w:hAnsi="Times New Roman" w:cs="Times New Roman"/>
          <w:sz w:val="24"/>
          <w:szCs w:val="24"/>
          <w:lang w:eastAsia="en-MY"/>
        </w:rPr>
        <w:t xml:space="preserve"> at 5 percent. </w:t>
      </w:r>
      <w:r w:rsidRPr="000D1D1D">
        <w:rPr>
          <w:rFonts w:ascii="Times New Roman" w:eastAsia="Times New Roman" w:hAnsi="Times New Roman" w:cs="Times New Roman"/>
          <w:sz w:val="24"/>
          <w:szCs w:val="24"/>
          <w:lang w:eastAsia="en-MY"/>
        </w:rPr>
        <w:t xml:space="preserve">In addition, majority of the variables have unidirectional causality in the short – run where </w:t>
      </w:r>
      <w:r w:rsidR="00637A6D" w:rsidRPr="000D1D1D">
        <w:rPr>
          <w:rFonts w:ascii="Times New Roman" w:eastAsia="Times New Roman" w:hAnsi="Times New Roman" w:cs="Times New Roman"/>
          <w:sz w:val="24"/>
          <w:szCs w:val="24"/>
          <w:lang w:eastAsia="en-MY"/>
        </w:rPr>
        <w:t>LNRGDP G</w:t>
      </w:r>
      <w:r w:rsidR="0009667F" w:rsidRPr="000D1D1D">
        <w:rPr>
          <w:rFonts w:ascii="Times New Roman" w:eastAsia="Times New Roman" w:hAnsi="Times New Roman" w:cs="Times New Roman"/>
          <w:sz w:val="24"/>
          <w:szCs w:val="24"/>
          <w:lang w:eastAsia="en-MY"/>
        </w:rPr>
        <w:t>ranger cause LNNPLIB</w:t>
      </w:r>
      <w:r w:rsidRPr="000D1D1D">
        <w:rPr>
          <w:rFonts w:ascii="Times New Roman" w:eastAsia="Times New Roman" w:hAnsi="Times New Roman" w:cs="Times New Roman"/>
          <w:sz w:val="24"/>
          <w:szCs w:val="24"/>
          <w:lang w:eastAsia="en-MY"/>
        </w:rPr>
        <w:t>,</w:t>
      </w:r>
      <w:r w:rsidR="00637A6D" w:rsidRPr="000D1D1D">
        <w:rPr>
          <w:rFonts w:ascii="Times New Roman" w:eastAsia="Times New Roman" w:hAnsi="Times New Roman" w:cs="Times New Roman"/>
          <w:sz w:val="24"/>
          <w:szCs w:val="24"/>
          <w:lang w:eastAsia="en-MY"/>
        </w:rPr>
        <w:t xml:space="preserve"> LNRGDP Granger cause LNTAIB, LNNPLIB Granger cause LNTFIB and LNTDIB G</w:t>
      </w:r>
      <w:r w:rsidR="0009667F" w:rsidRPr="000D1D1D">
        <w:rPr>
          <w:rFonts w:ascii="Times New Roman" w:eastAsia="Times New Roman" w:hAnsi="Times New Roman" w:cs="Times New Roman"/>
          <w:sz w:val="24"/>
          <w:szCs w:val="24"/>
          <w:lang w:eastAsia="en-MY"/>
        </w:rPr>
        <w:t xml:space="preserve">ranger cause LNTFIB. </w:t>
      </w:r>
      <w:r w:rsidRPr="000D1D1D">
        <w:rPr>
          <w:rFonts w:ascii="Times New Roman" w:eastAsia="Times New Roman" w:hAnsi="Times New Roman" w:cs="Times New Roman"/>
          <w:sz w:val="24"/>
          <w:szCs w:val="24"/>
          <w:lang w:eastAsia="en-MY"/>
        </w:rPr>
        <w:t xml:space="preserve">All these variables are statistically significant at 10 percent and 5 percent. </w:t>
      </w:r>
    </w:p>
    <w:p w:rsidR="00842BCC" w:rsidRPr="00450DF8" w:rsidRDefault="00842BCC" w:rsidP="00842BCC">
      <w:pPr>
        <w:autoSpaceDE w:val="0"/>
        <w:autoSpaceDN w:val="0"/>
        <w:adjustRightInd w:val="0"/>
        <w:spacing w:after="0"/>
        <w:ind w:firstLine="720"/>
        <w:jc w:val="both"/>
        <w:rPr>
          <w:rFonts w:ascii="Times New Roman" w:eastAsia="Times New Roman" w:hAnsi="Times New Roman" w:cs="Times New Roman"/>
          <w:lang w:eastAsia="en-MY"/>
        </w:rPr>
      </w:pPr>
    </w:p>
    <w:p w:rsidR="00A6689D" w:rsidRPr="000D1D1D" w:rsidRDefault="0009667F" w:rsidP="00A6689D">
      <w:pPr>
        <w:rPr>
          <w:rFonts w:ascii="Times New Roman" w:hAnsi="Times New Roman" w:cs="Times New Roman"/>
          <w:b/>
          <w:sz w:val="24"/>
          <w:szCs w:val="24"/>
        </w:rPr>
      </w:pPr>
      <w:r w:rsidRPr="000D1D1D">
        <w:rPr>
          <w:rFonts w:ascii="Times New Roman" w:hAnsi="Times New Roman" w:cs="Times New Roman"/>
          <w:b/>
          <w:sz w:val="24"/>
          <w:szCs w:val="24"/>
        </w:rPr>
        <w:t>Variance Decomposition and Impulse Response Function</w:t>
      </w:r>
    </w:p>
    <w:p w:rsidR="005264AF" w:rsidRPr="000D1D1D" w:rsidRDefault="0009667F" w:rsidP="005264AF">
      <w:pPr>
        <w:jc w:val="both"/>
        <w:rPr>
          <w:rFonts w:ascii="Times New Roman" w:hAnsi="Times New Roman" w:cs="Times New Roman"/>
          <w:sz w:val="24"/>
          <w:szCs w:val="24"/>
        </w:rPr>
      </w:pPr>
      <w:r w:rsidRPr="000D1D1D">
        <w:rPr>
          <w:rFonts w:ascii="Times New Roman" w:eastAsia="Calibri" w:hAnsi="Times New Roman" w:cs="Times New Roman"/>
          <w:sz w:val="24"/>
          <w:szCs w:val="24"/>
        </w:rPr>
        <w:t xml:space="preserve">The result of VECM indicates the exogeneity or endogeneity of a variable in the system and the direction of Granger-causality within the sample period. </w:t>
      </w:r>
      <w:r w:rsidRPr="000D1D1D">
        <w:rPr>
          <w:rFonts w:ascii="Times New Roman" w:hAnsi="Times New Roman" w:cs="Times New Roman"/>
          <w:sz w:val="24"/>
          <w:szCs w:val="24"/>
        </w:rPr>
        <w:t xml:space="preserve">However, it does not provide </w:t>
      </w:r>
      <w:r w:rsidRPr="000D1D1D">
        <w:rPr>
          <w:rFonts w:ascii="Times New Roman" w:eastAsia="Calibri" w:hAnsi="Times New Roman" w:cs="Times New Roman"/>
          <w:sz w:val="24"/>
          <w:szCs w:val="24"/>
        </w:rPr>
        <w:t>with the dynamic properties of the system. The analysis of the dynamic interactions among the variables in the post-sample period is conducted thr</w:t>
      </w:r>
      <w:r w:rsidR="003B7BB7" w:rsidRPr="000D1D1D">
        <w:rPr>
          <w:rFonts w:ascii="Times New Roman" w:eastAsia="Calibri" w:hAnsi="Times New Roman" w:cs="Times New Roman"/>
          <w:sz w:val="24"/>
          <w:szCs w:val="24"/>
        </w:rPr>
        <w:t>ough V</w:t>
      </w:r>
      <w:r w:rsidRPr="000D1D1D">
        <w:rPr>
          <w:rFonts w:ascii="Times New Roman" w:eastAsia="Calibri" w:hAnsi="Times New Roman" w:cs="Times New Roman"/>
          <w:sz w:val="24"/>
          <w:szCs w:val="24"/>
        </w:rPr>
        <w:t xml:space="preserve">ariance </w:t>
      </w:r>
      <w:r w:rsidR="003B7BB7" w:rsidRPr="000D1D1D">
        <w:rPr>
          <w:rFonts w:ascii="Times New Roman" w:eastAsia="Calibri" w:hAnsi="Times New Roman" w:cs="Times New Roman"/>
          <w:sz w:val="24"/>
          <w:szCs w:val="24"/>
        </w:rPr>
        <w:t>D</w:t>
      </w:r>
      <w:r w:rsidR="00DB018C" w:rsidRPr="000D1D1D">
        <w:rPr>
          <w:rFonts w:ascii="Times New Roman" w:eastAsia="Calibri" w:hAnsi="Times New Roman" w:cs="Times New Roman"/>
          <w:sz w:val="24"/>
          <w:szCs w:val="24"/>
        </w:rPr>
        <w:t>ecompositions (VDC</w:t>
      </w:r>
      <w:r w:rsidRPr="000D1D1D">
        <w:rPr>
          <w:rFonts w:ascii="Times New Roman" w:eastAsia="Calibri" w:hAnsi="Times New Roman" w:cs="Times New Roman"/>
          <w:sz w:val="24"/>
          <w:szCs w:val="24"/>
        </w:rPr>
        <w:t xml:space="preserve">) and </w:t>
      </w:r>
      <w:r w:rsidR="003B7BB7" w:rsidRPr="000D1D1D">
        <w:rPr>
          <w:rFonts w:ascii="Times New Roman" w:eastAsia="Calibri" w:hAnsi="Times New Roman" w:cs="Times New Roman"/>
          <w:sz w:val="24"/>
          <w:szCs w:val="24"/>
        </w:rPr>
        <w:t>Impulse Response F</w:t>
      </w:r>
      <w:r w:rsidR="00DB018C" w:rsidRPr="000D1D1D">
        <w:rPr>
          <w:rFonts w:ascii="Times New Roman" w:eastAsia="Calibri" w:hAnsi="Times New Roman" w:cs="Times New Roman"/>
          <w:sz w:val="24"/>
          <w:szCs w:val="24"/>
        </w:rPr>
        <w:t>unctions (IRF</w:t>
      </w:r>
      <w:r w:rsidRPr="000D1D1D">
        <w:rPr>
          <w:rFonts w:ascii="Times New Roman" w:eastAsia="Calibri" w:hAnsi="Times New Roman" w:cs="Times New Roman"/>
          <w:sz w:val="24"/>
          <w:szCs w:val="24"/>
        </w:rPr>
        <w:t>).</w:t>
      </w:r>
      <w:r w:rsidR="003B7BB7" w:rsidRPr="000D1D1D">
        <w:rPr>
          <w:rFonts w:ascii="Times New Roman" w:hAnsi="Times New Roman" w:cs="Times New Roman"/>
          <w:sz w:val="24"/>
          <w:szCs w:val="24"/>
        </w:rPr>
        <w:t xml:space="preserve"> Therefore, we proceed</w:t>
      </w:r>
      <w:r w:rsidRPr="000D1D1D">
        <w:rPr>
          <w:rFonts w:ascii="Times New Roman" w:hAnsi="Times New Roman" w:cs="Times New Roman"/>
          <w:sz w:val="24"/>
          <w:szCs w:val="24"/>
        </w:rPr>
        <w:t xml:space="preserve"> to check this via VDC and IRF</w:t>
      </w:r>
      <w:r w:rsidR="00230B10" w:rsidRPr="000D1D1D">
        <w:rPr>
          <w:rFonts w:ascii="Times New Roman" w:hAnsi="Times New Roman" w:cs="Times New Roman"/>
          <w:sz w:val="24"/>
          <w:szCs w:val="24"/>
        </w:rPr>
        <w:t xml:space="preserve">. </w:t>
      </w:r>
    </w:p>
    <w:p w:rsidR="00450DF8" w:rsidRPr="000D1D1D" w:rsidRDefault="00DB018C" w:rsidP="00D15C91">
      <w:pPr>
        <w:ind w:firstLine="720"/>
        <w:jc w:val="both"/>
        <w:rPr>
          <w:rFonts w:ascii="Times New Roman" w:hAnsi="Times New Roman" w:cs="Times New Roman"/>
          <w:sz w:val="24"/>
          <w:szCs w:val="24"/>
        </w:rPr>
      </w:pPr>
      <w:r w:rsidRPr="000D1D1D">
        <w:rPr>
          <w:rFonts w:ascii="Times New Roman" w:hAnsi="Times New Roman" w:cs="Times New Roman"/>
          <w:sz w:val="24"/>
          <w:szCs w:val="24"/>
        </w:rPr>
        <w:t>The Variance Decomposition (VDC</w:t>
      </w:r>
      <w:r w:rsidR="00624E45" w:rsidRPr="000D1D1D">
        <w:rPr>
          <w:rFonts w:ascii="Times New Roman" w:hAnsi="Times New Roman" w:cs="Times New Roman"/>
          <w:sz w:val="24"/>
          <w:szCs w:val="24"/>
        </w:rPr>
        <w:t>) will shows the variation of percentage of forecast error of variable that explained by</w:t>
      </w:r>
      <w:r w:rsidR="006C5ADF" w:rsidRPr="000D1D1D">
        <w:rPr>
          <w:rFonts w:ascii="Times New Roman" w:hAnsi="Times New Roman" w:cs="Times New Roman"/>
          <w:sz w:val="24"/>
          <w:szCs w:val="24"/>
        </w:rPr>
        <w:t xml:space="preserve"> another </w:t>
      </w:r>
      <w:proofErr w:type="gramStart"/>
      <w:r w:rsidR="006C5ADF" w:rsidRPr="000D1D1D">
        <w:rPr>
          <w:rFonts w:ascii="Times New Roman" w:hAnsi="Times New Roman" w:cs="Times New Roman"/>
          <w:sz w:val="24"/>
          <w:szCs w:val="24"/>
        </w:rPr>
        <w:t>variables</w:t>
      </w:r>
      <w:proofErr w:type="gramEnd"/>
      <w:r w:rsidR="006C5ADF" w:rsidRPr="000D1D1D">
        <w:rPr>
          <w:rFonts w:ascii="Times New Roman" w:hAnsi="Times New Roman" w:cs="Times New Roman"/>
          <w:sz w:val="24"/>
          <w:szCs w:val="24"/>
        </w:rPr>
        <w:t xml:space="preserve"> in the short-</w:t>
      </w:r>
      <w:r w:rsidR="00624E45" w:rsidRPr="000D1D1D">
        <w:rPr>
          <w:rFonts w:ascii="Times New Roman" w:hAnsi="Times New Roman" w:cs="Times New Roman"/>
          <w:sz w:val="24"/>
          <w:szCs w:val="24"/>
        </w:rPr>
        <w:t xml:space="preserve">run dynamic interaction. VDC and </w:t>
      </w:r>
      <w:r w:rsidR="006C5ADF" w:rsidRPr="000D1D1D">
        <w:rPr>
          <w:rFonts w:ascii="Times New Roman" w:hAnsi="Times New Roman" w:cs="Times New Roman"/>
          <w:sz w:val="24"/>
          <w:szCs w:val="24"/>
        </w:rPr>
        <w:t>IRF</w:t>
      </w:r>
      <w:r w:rsidR="00624E45" w:rsidRPr="000D1D1D">
        <w:rPr>
          <w:rFonts w:ascii="Times New Roman" w:hAnsi="Times New Roman" w:cs="Times New Roman"/>
          <w:sz w:val="24"/>
          <w:szCs w:val="24"/>
        </w:rPr>
        <w:t xml:space="preserve"> were conducted based on VAR specification and we have chosen lag length 2 where it was full enough to measure error term</w:t>
      </w:r>
      <w:r w:rsidR="006C5ADF" w:rsidRPr="000D1D1D">
        <w:rPr>
          <w:rFonts w:ascii="Times New Roman" w:hAnsi="Times New Roman" w:cs="Times New Roman"/>
          <w:sz w:val="24"/>
          <w:szCs w:val="24"/>
        </w:rPr>
        <w:t>s</w:t>
      </w:r>
      <w:r w:rsidR="00624E45" w:rsidRPr="000D1D1D">
        <w:rPr>
          <w:rFonts w:ascii="Times New Roman" w:hAnsi="Times New Roman" w:cs="Times New Roman"/>
          <w:sz w:val="24"/>
          <w:szCs w:val="24"/>
        </w:rPr>
        <w:t xml:space="preserve"> that are serially uncorrelated. The </w:t>
      </w:r>
      <w:r w:rsidR="006C5ADF" w:rsidRPr="000D1D1D">
        <w:rPr>
          <w:rFonts w:ascii="Times New Roman" w:hAnsi="Times New Roman" w:cs="Times New Roman"/>
          <w:sz w:val="24"/>
          <w:szCs w:val="24"/>
        </w:rPr>
        <w:t>flow of variables direction is</w:t>
      </w:r>
      <w:r w:rsidR="00624E45" w:rsidRPr="000D1D1D">
        <w:rPr>
          <w:rFonts w:ascii="Times New Roman" w:hAnsi="Times New Roman" w:cs="Times New Roman"/>
          <w:sz w:val="24"/>
          <w:szCs w:val="24"/>
        </w:rPr>
        <w:t xml:space="preserve"> consistent with Abduh and Chowdury (2012) </w:t>
      </w:r>
      <w:r w:rsidR="00637A6D" w:rsidRPr="000D1D1D">
        <w:rPr>
          <w:rFonts w:ascii="Times New Roman" w:hAnsi="Times New Roman" w:cs="Times New Roman"/>
          <w:sz w:val="24"/>
          <w:szCs w:val="24"/>
        </w:rPr>
        <w:t>and Murumba (2012</w:t>
      </w:r>
      <w:r w:rsidR="00624E45" w:rsidRPr="000D1D1D">
        <w:rPr>
          <w:rFonts w:ascii="Times New Roman" w:hAnsi="Times New Roman" w:cs="Times New Roman"/>
          <w:sz w:val="24"/>
          <w:szCs w:val="24"/>
        </w:rPr>
        <w:t xml:space="preserve">). Based on Table 6, the result shows the VDC at 12 – month and 24 – month time horizon. The result is also </w:t>
      </w:r>
      <w:proofErr w:type="gramStart"/>
      <w:r w:rsidR="00624E45" w:rsidRPr="000D1D1D">
        <w:rPr>
          <w:rFonts w:ascii="Times New Roman" w:hAnsi="Times New Roman" w:cs="Times New Roman"/>
          <w:sz w:val="24"/>
          <w:szCs w:val="24"/>
        </w:rPr>
        <w:t>indicates</w:t>
      </w:r>
      <w:proofErr w:type="gramEnd"/>
      <w:r w:rsidR="00624E45" w:rsidRPr="000D1D1D">
        <w:rPr>
          <w:rFonts w:ascii="Times New Roman" w:hAnsi="Times New Roman" w:cs="Times New Roman"/>
          <w:sz w:val="24"/>
          <w:szCs w:val="24"/>
        </w:rPr>
        <w:t xml:space="preserve"> the existence of interaction among the dependent variable with the explanatory variables. As we can notice from the Table 6, the variation of output forecast error variance in Real GDP contributed by it</w:t>
      </w:r>
      <w:r w:rsidR="006C5ADF" w:rsidRPr="000D1D1D">
        <w:rPr>
          <w:rFonts w:ascii="Times New Roman" w:hAnsi="Times New Roman" w:cs="Times New Roman"/>
          <w:sz w:val="24"/>
          <w:szCs w:val="24"/>
        </w:rPr>
        <w:t>s</w:t>
      </w:r>
      <w:r w:rsidR="00624E45" w:rsidRPr="000D1D1D">
        <w:rPr>
          <w:rFonts w:ascii="Times New Roman" w:hAnsi="Times New Roman" w:cs="Times New Roman"/>
          <w:sz w:val="24"/>
          <w:szCs w:val="24"/>
        </w:rPr>
        <w:t xml:space="preserve"> own variations where it is accounted for 21.13% for the 12 – month. The innovation in explanatory variables such as TDIB, TFIB, TA and NPL were accounted for 5.25%, 66.52%, 0.74% and 6.34%. However, after 24 - months, </w:t>
      </w:r>
      <w:r w:rsidRPr="000D1D1D">
        <w:rPr>
          <w:rFonts w:ascii="Times New Roman" w:hAnsi="Times New Roman" w:cs="Times New Roman"/>
          <w:sz w:val="24"/>
          <w:szCs w:val="24"/>
        </w:rPr>
        <w:t>RGDP reduces to 18.</w:t>
      </w:r>
      <w:r w:rsidR="00624E45" w:rsidRPr="000D1D1D">
        <w:rPr>
          <w:rFonts w:ascii="Times New Roman" w:hAnsi="Times New Roman" w:cs="Times New Roman"/>
          <w:sz w:val="24"/>
          <w:szCs w:val="24"/>
        </w:rPr>
        <w:t xml:space="preserve">76% where it was due to </w:t>
      </w:r>
      <w:r w:rsidR="00C86BBC" w:rsidRPr="000D1D1D">
        <w:rPr>
          <w:rFonts w:ascii="Times New Roman" w:hAnsi="Times New Roman" w:cs="Times New Roman"/>
          <w:sz w:val="24"/>
          <w:szCs w:val="24"/>
        </w:rPr>
        <w:t xml:space="preserve">its </w:t>
      </w:r>
      <w:r w:rsidR="00624E45" w:rsidRPr="000D1D1D">
        <w:rPr>
          <w:rFonts w:ascii="Times New Roman" w:hAnsi="Times New Roman" w:cs="Times New Roman"/>
          <w:sz w:val="24"/>
          <w:szCs w:val="24"/>
        </w:rPr>
        <w:t xml:space="preserve">own variation. Followed by innovation in TDIB, TA where the fraction </w:t>
      </w:r>
      <w:proofErr w:type="gramStart"/>
      <w:r w:rsidR="00624E45" w:rsidRPr="000D1D1D">
        <w:rPr>
          <w:rFonts w:ascii="Times New Roman" w:hAnsi="Times New Roman" w:cs="Times New Roman"/>
          <w:sz w:val="24"/>
          <w:szCs w:val="24"/>
        </w:rPr>
        <w:t>have</w:t>
      </w:r>
      <w:proofErr w:type="gramEnd"/>
      <w:r w:rsidR="00624E45" w:rsidRPr="000D1D1D">
        <w:rPr>
          <w:rFonts w:ascii="Times New Roman" w:hAnsi="Times New Roman" w:cs="Times New Roman"/>
          <w:sz w:val="24"/>
          <w:szCs w:val="24"/>
        </w:rPr>
        <w:t xml:space="preserve"> increase </w:t>
      </w:r>
      <w:r w:rsidRPr="000D1D1D">
        <w:rPr>
          <w:rFonts w:ascii="Times New Roman" w:hAnsi="Times New Roman" w:cs="Times New Roman"/>
          <w:sz w:val="24"/>
          <w:szCs w:val="24"/>
        </w:rPr>
        <w:t>slowly, namely, 7.16% and 1.37%</w:t>
      </w:r>
      <w:r w:rsidR="00624E45" w:rsidRPr="000D1D1D">
        <w:rPr>
          <w:rFonts w:ascii="Times New Roman" w:hAnsi="Times New Roman" w:cs="Times New Roman"/>
          <w:sz w:val="24"/>
          <w:szCs w:val="24"/>
        </w:rPr>
        <w:t xml:space="preserve">. In addition, the variation in TFIB was huge where the fraction of TFIB has inclined to 60.84% after 24 –month time horizon. On the other hand, another major innovation was </w:t>
      </w:r>
      <w:r w:rsidR="006C5ADF" w:rsidRPr="000D1D1D">
        <w:rPr>
          <w:rFonts w:ascii="Times New Roman" w:hAnsi="Times New Roman" w:cs="Times New Roman"/>
          <w:sz w:val="24"/>
          <w:szCs w:val="24"/>
        </w:rPr>
        <w:t>occurring</w:t>
      </w:r>
      <w:r w:rsidR="00624E45" w:rsidRPr="000D1D1D">
        <w:rPr>
          <w:rFonts w:ascii="Times New Roman" w:hAnsi="Times New Roman" w:cs="Times New Roman"/>
          <w:sz w:val="24"/>
          <w:szCs w:val="24"/>
        </w:rPr>
        <w:t xml:space="preserve"> </w:t>
      </w:r>
      <w:r w:rsidR="006C5ADF" w:rsidRPr="000D1D1D">
        <w:rPr>
          <w:rFonts w:ascii="Times New Roman" w:hAnsi="Times New Roman" w:cs="Times New Roman"/>
          <w:sz w:val="24"/>
          <w:szCs w:val="24"/>
        </w:rPr>
        <w:t xml:space="preserve">in NPL where the fraction was </w:t>
      </w:r>
      <w:r w:rsidR="00624E45" w:rsidRPr="000D1D1D">
        <w:rPr>
          <w:rFonts w:ascii="Times New Roman" w:hAnsi="Times New Roman" w:cs="Times New Roman"/>
          <w:sz w:val="24"/>
          <w:szCs w:val="24"/>
        </w:rPr>
        <w:t xml:space="preserve">predominantly </w:t>
      </w:r>
      <w:r w:rsidR="006C5ADF" w:rsidRPr="000D1D1D">
        <w:rPr>
          <w:rFonts w:ascii="Times New Roman" w:hAnsi="Times New Roman" w:cs="Times New Roman"/>
          <w:sz w:val="24"/>
          <w:szCs w:val="24"/>
        </w:rPr>
        <w:t>increased</w:t>
      </w:r>
      <w:r w:rsidR="00624E45" w:rsidRPr="000D1D1D">
        <w:rPr>
          <w:rFonts w:ascii="Times New Roman" w:hAnsi="Times New Roman" w:cs="Times New Roman"/>
          <w:sz w:val="24"/>
          <w:szCs w:val="24"/>
        </w:rPr>
        <w:t xml:space="preserve"> to 11.86%.</w:t>
      </w:r>
    </w:p>
    <w:p w:rsidR="0009667F" w:rsidRPr="000D1D1D" w:rsidRDefault="0009667F" w:rsidP="0009667F">
      <w:pPr>
        <w:ind w:firstLine="720"/>
        <w:jc w:val="center"/>
        <w:rPr>
          <w:rFonts w:ascii="Times New Roman" w:hAnsi="Times New Roman" w:cs="Times New Roman"/>
          <w:b/>
          <w:sz w:val="24"/>
          <w:szCs w:val="24"/>
        </w:rPr>
      </w:pPr>
      <w:r w:rsidRPr="000D1D1D">
        <w:rPr>
          <w:rFonts w:ascii="Times New Roman" w:hAnsi="Times New Roman" w:cs="Times New Roman"/>
          <w:b/>
          <w:sz w:val="24"/>
          <w:szCs w:val="24"/>
        </w:rPr>
        <w:lastRenderedPageBreak/>
        <w:t>Table 6: Result of Variance Decomposition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906"/>
        <w:gridCol w:w="1230"/>
        <w:gridCol w:w="1234"/>
        <w:gridCol w:w="1264"/>
        <w:gridCol w:w="1206"/>
        <w:gridCol w:w="1283"/>
      </w:tblGrid>
      <w:tr w:rsidR="0009667F" w:rsidRPr="000D1D1D" w:rsidTr="00BE3CDB">
        <w:tc>
          <w:tcPr>
            <w:tcW w:w="2049" w:type="dxa"/>
            <w:vMerge w:val="restart"/>
            <w:tcBorders>
              <w:top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 xml:space="preserve">Variance Decomposition of </w:t>
            </w:r>
          </w:p>
        </w:tc>
        <w:tc>
          <w:tcPr>
            <w:tcW w:w="914" w:type="dxa"/>
            <w:vMerge w:val="restart"/>
            <w:tcBorders>
              <w:top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Period</w:t>
            </w:r>
          </w:p>
        </w:tc>
        <w:tc>
          <w:tcPr>
            <w:tcW w:w="6279" w:type="dxa"/>
            <w:gridSpan w:val="5"/>
            <w:tcBorders>
              <w:top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 xml:space="preserve">Innovations in  </w:t>
            </w:r>
          </w:p>
        </w:tc>
      </w:tr>
      <w:tr w:rsidR="0009667F" w:rsidRPr="000D1D1D" w:rsidTr="00BE3CDB">
        <w:tc>
          <w:tcPr>
            <w:tcW w:w="2049" w:type="dxa"/>
            <w:vMerge/>
            <w:tcBorders>
              <w:bottom w:val="single" w:sz="4" w:space="0" w:color="auto"/>
            </w:tcBorders>
          </w:tcPr>
          <w:p w:rsidR="0009667F" w:rsidRPr="000D1D1D" w:rsidRDefault="0009667F" w:rsidP="00BE3CDB">
            <w:pPr>
              <w:jc w:val="center"/>
              <w:rPr>
                <w:rFonts w:ascii="Times New Roman" w:hAnsi="Times New Roman" w:cs="Times New Roman"/>
                <w:b/>
                <w:sz w:val="24"/>
                <w:szCs w:val="24"/>
              </w:rPr>
            </w:pPr>
          </w:p>
        </w:tc>
        <w:tc>
          <w:tcPr>
            <w:tcW w:w="914" w:type="dxa"/>
            <w:vMerge/>
            <w:tcBorders>
              <w:bottom w:val="single" w:sz="4" w:space="0" w:color="auto"/>
            </w:tcBorders>
          </w:tcPr>
          <w:p w:rsidR="0009667F" w:rsidRPr="000D1D1D" w:rsidRDefault="0009667F" w:rsidP="00BE3CDB">
            <w:pPr>
              <w:jc w:val="center"/>
              <w:rPr>
                <w:rFonts w:ascii="Times New Roman" w:hAnsi="Times New Roman" w:cs="Times New Roman"/>
                <w:b/>
                <w:sz w:val="24"/>
                <w:szCs w:val="24"/>
              </w:rPr>
            </w:pPr>
          </w:p>
        </w:tc>
        <w:tc>
          <w:tcPr>
            <w:tcW w:w="1230" w:type="dxa"/>
            <w:tcBorders>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LNRGDP</w:t>
            </w:r>
          </w:p>
        </w:tc>
        <w:tc>
          <w:tcPr>
            <w:tcW w:w="1258" w:type="dxa"/>
            <w:tcBorders>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LNTDIB</w:t>
            </w:r>
          </w:p>
        </w:tc>
        <w:tc>
          <w:tcPr>
            <w:tcW w:w="1315" w:type="dxa"/>
            <w:tcBorders>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LNTFIB</w:t>
            </w:r>
          </w:p>
        </w:tc>
        <w:tc>
          <w:tcPr>
            <w:tcW w:w="1193" w:type="dxa"/>
            <w:tcBorders>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LNTAIB</w:t>
            </w:r>
          </w:p>
        </w:tc>
        <w:tc>
          <w:tcPr>
            <w:tcW w:w="1283" w:type="dxa"/>
            <w:tcBorders>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LNNPLIB</w:t>
            </w:r>
          </w:p>
        </w:tc>
      </w:tr>
      <w:tr w:rsidR="0009667F" w:rsidRPr="000D1D1D" w:rsidTr="00BE3CDB">
        <w:tc>
          <w:tcPr>
            <w:tcW w:w="2049" w:type="dxa"/>
            <w:tcBorders>
              <w:top w:val="single" w:sz="4" w:space="0" w:color="auto"/>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LNRGDP</w:t>
            </w:r>
          </w:p>
        </w:tc>
        <w:tc>
          <w:tcPr>
            <w:tcW w:w="914"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652"/>
            </w:tblGrid>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w:t>
                  </w:r>
                </w:p>
              </w:tc>
            </w:tr>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24</w:t>
                  </w: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c>
          <w:tcPr>
            <w:tcW w:w="1230"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4"/>
            </w:tblGrid>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21.13537</w:t>
                  </w:r>
                </w:p>
              </w:tc>
            </w:tr>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18.76352</w:t>
                  </w: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c>
          <w:tcPr>
            <w:tcW w:w="1258"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8"/>
            </w:tblGrid>
            <w:tr w:rsidR="0009667F" w:rsidRPr="000D1D1D" w:rsidTr="00BE3CDB">
              <w:trPr>
                <w:trHeight w:val="225"/>
              </w:trPr>
              <w:tc>
                <w:tcPr>
                  <w:tcW w:w="1208"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5.250796</w:t>
                  </w:r>
                </w:p>
              </w:tc>
            </w:tr>
            <w:tr w:rsidR="0009667F" w:rsidRPr="000D1D1D" w:rsidTr="00BE3CDB">
              <w:trPr>
                <w:trHeight w:val="225"/>
              </w:trPr>
              <w:tc>
                <w:tcPr>
                  <w:tcW w:w="1208"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7.163523</w:t>
                  </w: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c>
          <w:tcPr>
            <w:tcW w:w="1315"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18"/>
            </w:tblGrid>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66.52515</w:t>
                  </w:r>
                </w:p>
              </w:tc>
            </w:tr>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60.84513</w:t>
                  </w: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c>
          <w:tcPr>
            <w:tcW w:w="119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60"/>
            </w:tblGrid>
            <w:tr w:rsidR="0009667F" w:rsidRPr="000D1D1D" w:rsidTr="00BE3CDB">
              <w:trPr>
                <w:trHeight w:val="225"/>
              </w:trPr>
              <w:tc>
                <w:tcPr>
                  <w:tcW w:w="1208"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0.744530</w:t>
                  </w:r>
                </w:p>
              </w:tc>
            </w:tr>
            <w:tr w:rsidR="0009667F" w:rsidRPr="000D1D1D" w:rsidTr="00BE3CDB">
              <w:trPr>
                <w:trHeight w:val="225"/>
              </w:trPr>
              <w:tc>
                <w:tcPr>
                  <w:tcW w:w="1208"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1.371919</w:t>
                  </w: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c>
          <w:tcPr>
            <w:tcW w:w="128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37"/>
            </w:tblGrid>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6.344154</w:t>
                  </w:r>
                </w:p>
              </w:tc>
            </w:tr>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11.85591</w:t>
                  </w:r>
                </w:p>
              </w:tc>
            </w:tr>
            <w:tr w:rsidR="0009667F" w:rsidRPr="000D1D1D" w:rsidTr="00BE3CDB">
              <w:trPr>
                <w:trHeight w:val="225"/>
              </w:trPr>
              <w:tc>
                <w:tcPr>
                  <w:tcW w:w="120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p>
              </w:tc>
            </w:tr>
          </w:tbl>
          <w:p w:rsidR="0009667F" w:rsidRPr="000D1D1D" w:rsidRDefault="0009667F" w:rsidP="00BE3CDB">
            <w:pPr>
              <w:autoSpaceDE w:val="0"/>
              <w:autoSpaceDN w:val="0"/>
              <w:adjustRightInd w:val="0"/>
              <w:jc w:val="center"/>
              <w:rPr>
                <w:rFonts w:ascii="Times New Roman" w:hAnsi="Times New Roman" w:cs="Times New Roman"/>
                <w:color w:val="000000"/>
                <w:sz w:val="24"/>
                <w:szCs w:val="24"/>
              </w:rPr>
            </w:pPr>
          </w:p>
        </w:tc>
      </w:tr>
      <w:tr w:rsidR="0009667F" w:rsidRPr="000D1D1D" w:rsidTr="00BE3CDB">
        <w:tc>
          <w:tcPr>
            <w:tcW w:w="2049" w:type="dxa"/>
            <w:tcBorders>
              <w:top w:val="single" w:sz="4" w:space="0" w:color="auto"/>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LNTDIB</w:t>
            </w:r>
          </w:p>
        </w:tc>
        <w:tc>
          <w:tcPr>
            <w:tcW w:w="914"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652"/>
            </w:tblGrid>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w:t>
                  </w:r>
                </w:p>
              </w:tc>
            </w:tr>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24</w:t>
                  </w:r>
                </w:p>
              </w:tc>
            </w:tr>
          </w:tbl>
          <w:p w:rsidR="0009667F" w:rsidRPr="000D1D1D" w:rsidRDefault="0009667F" w:rsidP="00BE3CDB">
            <w:pPr>
              <w:jc w:val="center"/>
              <w:rPr>
                <w:rFonts w:ascii="Times New Roman" w:hAnsi="Times New Roman" w:cs="Times New Roman"/>
                <w:b/>
                <w:sz w:val="24"/>
                <w:szCs w:val="24"/>
              </w:rPr>
            </w:pPr>
          </w:p>
        </w:tc>
        <w:tc>
          <w:tcPr>
            <w:tcW w:w="1230"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4"/>
            </w:tblGrid>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2.862676</w:t>
                  </w:r>
                </w:p>
              </w:tc>
            </w:tr>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3.160593</w:t>
                  </w:r>
                </w:p>
              </w:tc>
            </w:tr>
          </w:tbl>
          <w:p w:rsidR="0009667F" w:rsidRPr="000D1D1D" w:rsidRDefault="0009667F" w:rsidP="00BE3CDB">
            <w:pPr>
              <w:jc w:val="center"/>
              <w:rPr>
                <w:rFonts w:ascii="Times New Roman" w:hAnsi="Times New Roman" w:cs="Times New Roman"/>
                <w:b/>
                <w:sz w:val="24"/>
                <w:szCs w:val="24"/>
              </w:rPr>
            </w:pPr>
          </w:p>
        </w:tc>
        <w:tc>
          <w:tcPr>
            <w:tcW w:w="1258"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8"/>
            </w:tblGrid>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34.37118</w:t>
                  </w:r>
                </w:p>
              </w:tc>
            </w:tr>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31.84781</w:t>
                  </w:r>
                </w:p>
              </w:tc>
            </w:tr>
          </w:tbl>
          <w:p w:rsidR="0009667F" w:rsidRPr="000D1D1D" w:rsidRDefault="0009667F" w:rsidP="00BE3CDB">
            <w:pPr>
              <w:jc w:val="center"/>
              <w:rPr>
                <w:rFonts w:ascii="Times New Roman" w:hAnsi="Times New Roman" w:cs="Times New Roman"/>
                <w:b/>
                <w:sz w:val="24"/>
                <w:szCs w:val="24"/>
              </w:rPr>
            </w:pPr>
          </w:p>
        </w:tc>
        <w:tc>
          <w:tcPr>
            <w:tcW w:w="1315"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18"/>
            </w:tblGrid>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26.03564</w:t>
                  </w:r>
                </w:p>
              </w:tc>
            </w:tr>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22.71569</w:t>
                  </w:r>
                </w:p>
              </w:tc>
            </w:tr>
          </w:tbl>
          <w:p w:rsidR="0009667F" w:rsidRPr="000D1D1D" w:rsidRDefault="0009667F" w:rsidP="00BE3CDB">
            <w:pPr>
              <w:jc w:val="center"/>
              <w:rPr>
                <w:rFonts w:ascii="Times New Roman" w:hAnsi="Times New Roman" w:cs="Times New Roman"/>
                <w:b/>
                <w:sz w:val="24"/>
                <w:szCs w:val="24"/>
              </w:rPr>
            </w:pPr>
          </w:p>
        </w:tc>
        <w:tc>
          <w:tcPr>
            <w:tcW w:w="119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60"/>
            </w:tblGrid>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4.041817</w:t>
                  </w:r>
                </w:p>
              </w:tc>
            </w:tr>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4.621363</w:t>
                  </w:r>
                </w:p>
              </w:tc>
            </w:tr>
          </w:tbl>
          <w:p w:rsidR="0009667F" w:rsidRPr="000D1D1D" w:rsidRDefault="0009667F" w:rsidP="00BE3CDB">
            <w:pPr>
              <w:jc w:val="center"/>
              <w:rPr>
                <w:rFonts w:ascii="Times New Roman" w:hAnsi="Times New Roman" w:cs="Times New Roman"/>
                <w:b/>
                <w:sz w:val="24"/>
                <w:szCs w:val="24"/>
              </w:rPr>
            </w:pPr>
          </w:p>
        </w:tc>
        <w:tc>
          <w:tcPr>
            <w:tcW w:w="128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37"/>
            </w:tblGrid>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32.68869</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37.65454</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p>
              </w:tc>
            </w:tr>
          </w:tbl>
          <w:p w:rsidR="0009667F" w:rsidRPr="000D1D1D" w:rsidRDefault="0009667F" w:rsidP="00BE3CDB">
            <w:pPr>
              <w:jc w:val="center"/>
              <w:rPr>
                <w:rFonts w:ascii="Times New Roman" w:hAnsi="Times New Roman" w:cs="Times New Roman"/>
                <w:b/>
                <w:sz w:val="24"/>
                <w:szCs w:val="24"/>
              </w:rPr>
            </w:pPr>
          </w:p>
        </w:tc>
      </w:tr>
      <w:tr w:rsidR="0009667F" w:rsidRPr="000D1D1D" w:rsidTr="00BE3CDB">
        <w:tc>
          <w:tcPr>
            <w:tcW w:w="2049" w:type="dxa"/>
            <w:tcBorders>
              <w:top w:val="single" w:sz="4" w:space="0" w:color="auto"/>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LNTFIB</w:t>
            </w:r>
          </w:p>
        </w:tc>
        <w:tc>
          <w:tcPr>
            <w:tcW w:w="914"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652"/>
            </w:tblGrid>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w:t>
                  </w:r>
                </w:p>
              </w:tc>
            </w:tr>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24</w:t>
                  </w:r>
                </w:p>
              </w:tc>
            </w:tr>
          </w:tbl>
          <w:p w:rsidR="0009667F" w:rsidRPr="000D1D1D" w:rsidRDefault="0009667F" w:rsidP="00BE3CDB">
            <w:pPr>
              <w:jc w:val="center"/>
              <w:rPr>
                <w:rFonts w:ascii="Times New Roman" w:hAnsi="Times New Roman" w:cs="Times New Roman"/>
                <w:b/>
                <w:sz w:val="24"/>
                <w:szCs w:val="24"/>
              </w:rPr>
            </w:pPr>
          </w:p>
        </w:tc>
        <w:tc>
          <w:tcPr>
            <w:tcW w:w="1230"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4"/>
            </w:tblGrid>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1.374990</w:t>
                  </w:r>
                </w:p>
              </w:tc>
            </w:tr>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1.928610</w:t>
                  </w:r>
                </w:p>
              </w:tc>
            </w:tr>
          </w:tbl>
          <w:p w:rsidR="0009667F" w:rsidRPr="000D1D1D" w:rsidRDefault="0009667F" w:rsidP="00BE3CDB">
            <w:pPr>
              <w:jc w:val="center"/>
              <w:rPr>
                <w:rFonts w:ascii="Times New Roman" w:hAnsi="Times New Roman" w:cs="Times New Roman"/>
                <w:b/>
                <w:sz w:val="24"/>
                <w:szCs w:val="24"/>
              </w:rPr>
            </w:pPr>
          </w:p>
        </w:tc>
        <w:tc>
          <w:tcPr>
            <w:tcW w:w="1258"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8"/>
            </w:tblGrid>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8.748031</w:t>
                  </w:r>
                </w:p>
              </w:tc>
            </w:tr>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12.00442</w:t>
                  </w:r>
                </w:p>
              </w:tc>
            </w:tr>
          </w:tbl>
          <w:p w:rsidR="0009667F" w:rsidRPr="000D1D1D" w:rsidRDefault="0009667F" w:rsidP="00BE3CDB">
            <w:pPr>
              <w:jc w:val="center"/>
              <w:rPr>
                <w:rFonts w:ascii="Times New Roman" w:hAnsi="Times New Roman" w:cs="Times New Roman"/>
                <w:b/>
                <w:sz w:val="24"/>
                <w:szCs w:val="24"/>
              </w:rPr>
            </w:pPr>
          </w:p>
        </w:tc>
        <w:tc>
          <w:tcPr>
            <w:tcW w:w="1315"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18"/>
            </w:tblGrid>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71.97050</w:t>
                  </w:r>
                </w:p>
              </w:tc>
            </w:tr>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60.67757</w:t>
                  </w:r>
                </w:p>
              </w:tc>
            </w:tr>
          </w:tbl>
          <w:p w:rsidR="0009667F" w:rsidRPr="000D1D1D" w:rsidRDefault="0009667F" w:rsidP="00BE3CDB">
            <w:pPr>
              <w:jc w:val="center"/>
              <w:rPr>
                <w:rFonts w:ascii="Times New Roman" w:hAnsi="Times New Roman" w:cs="Times New Roman"/>
                <w:b/>
                <w:sz w:val="24"/>
                <w:szCs w:val="24"/>
              </w:rPr>
            </w:pPr>
          </w:p>
        </w:tc>
        <w:tc>
          <w:tcPr>
            <w:tcW w:w="119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60"/>
            </w:tblGrid>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2.181452</w:t>
                  </w:r>
                </w:p>
              </w:tc>
            </w:tr>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2.913074</w:t>
                  </w:r>
                </w:p>
              </w:tc>
            </w:tr>
          </w:tbl>
          <w:p w:rsidR="0009667F" w:rsidRPr="000D1D1D" w:rsidRDefault="0009667F" w:rsidP="00BE3CDB">
            <w:pPr>
              <w:jc w:val="center"/>
              <w:rPr>
                <w:rFonts w:ascii="Times New Roman" w:hAnsi="Times New Roman" w:cs="Times New Roman"/>
                <w:b/>
                <w:sz w:val="24"/>
                <w:szCs w:val="24"/>
              </w:rPr>
            </w:pPr>
          </w:p>
        </w:tc>
        <w:tc>
          <w:tcPr>
            <w:tcW w:w="128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37"/>
            </w:tblGrid>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15.72503</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22.47633</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rPr>
                      <w:rFonts w:ascii="Times New Roman" w:hAnsi="Times New Roman" w:cs="Times New Roman"/>
                      <w:color w:val="000000"/>
                      <w:sz w:val="24"/>
                      <w:szCs w:val="24"/>
                    </w:rPr>
                  </w:pPr>
                </w:p>
              </w:tc>
            </w:tr>
          </w:tbl>
          <w:p w:rsidR="0009667F" w:rsidRPr="000D1D1D" w:rsidRDefault="0009667F" w:rsidP="00BE3CDB">
            <w:pPr>
              <w:jc w:val="center"/>
              <w:rPr>
                <w:rFonts w:ascii="Times New Roman" w:hAnsi="Times New Roman" w:cs="Times New Roman"/>
                <w:b/>
                <w:sz w:val="24"/>
                <w:szCs w:val="24"/>
              </w:rPr>
            </w:pPr>
          </w:p>
        </w:tc>
      </w:tr>
      <w:tr w:rsidR="0009667F" w:rsidRPr="000D1D1D" w:rsidTr="00BE3CDB">
        <w:tc>
          <w:tcPr>
            <w:tcW w:w="2049" w:type="dxa"/>
            <w:tcBorders>
              <w:top w:val="single" w:sz="4" w:space="0" w:color="auto"/>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LNTAIB</w:t>
            </w:r>
          </w:p>
        </w:tc>
        <w:tc>
          <w:tcPr>
            <w:tcW w:w="914"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652"/>
            </w:tblGrid>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w:t>
                  </w:r>
                </w:p>
              </w:tc>
            </w:tr>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24</w:t>
                  </w:r>
                </w:p>
              </w:tc>
            </w:tr>
          </w:tbl>
          <w:p w:rsidR="0009667F" w:rsidRPr="000D1D1D" w:rsidRDefault="0009667F" w:rsidP="00BE3CDB">
            <w:pPr>
              <w:jc w:val="center"/>
              <w:rPr>
                <w:rFonts w:ascii="Times New Roman" w:hAnsi="Times New Roman" w:cs="Times New Roman"/>
                <w:b/>
                <w:sz w:val="24"/>
                <w:szCs w:val="24"/>
              </w:rPr>
            </w:pPr>
          </w:p>
        </w:tc>
        <w:tc>
          <w:tcPr>
            <w:tcW w:w="1230"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4"/>
            </w:tblGrid>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0.659022</w:t>
                  </w:r>
                </w:p>
              </w:tc>
            </w:tr>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1.301334</w:t>
                  </w:r>
                </w:p>
              </w:tc>
            </w:tr>
          </w:tbl>
          <w:p w:rsidR="0009667F" w:rsidRPr="000D1D1D" w:rsidRDefault="0009667F" w:rsidP="00BE3CDB">
            <w:pPr>
              <w:jc w:val="center"/>
              <w:rPr>
                <w:rFonts w:ascii="Times New Roman" w:hAnsi="Times New Roman" w:cs="Times New Roman"/>
                <w:b/>
                <w:sz w:val="24"/>
                <w:szCs w:val="24"/>
              </w:rPr>
            </w:pPr>
          </w:p>
        </w:tc>
        <w:tc>
          <w:tcPr>
            <w:tcW w:w="1258"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8"/>
            </w:tblGrid>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31.75681</w:t>
                  </w:r>
                </w:p>
              </w:tc>
            </w:tr>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29.43245</w:t>
                  </w:r>
                </w:p>
              </w:tc>
            </w:tr>
          </w:tbl>
          <w:p w:rsidR="0009667F" w:rsidRPr="000D1D1D" w:rsidRDefault="0009667F" w:rsidP="00BE3CDB">
            <w:pPr>
              <w:jc w:val="center"/>
              <w:rPr>
                <w:rFonts w:ascii="Times New Roman" w:hAnsi="Times New Roman" w:cs="Times New Roman"/>
                <w:b/>
                <w:sz w:val="24"/>
                <w:szCs w:val="24"/>
              </w:rPr>
            </w:pPr>
          </w:p>
        </w:tc>
        <w:tc>
          <w:tcPr>
            <w:tcW w:w="1315"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18"/>
            </w:tblGrid>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38.31720</w:t>
                  </w:r>
                </w:p>
              </w:tc>
            </w:tr>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32.46804</w:t>
                  </w:r>
                </w:p>
              </w:tc>
            </w:tr>
          </w:tbl>
          <w:p w:rsidR="0009667F" w:rsidRPr="000D1D1D" w:rsidRDefault="0009667F" w:rsidP="00BE3CDB">
            <w:pPr>
              <w:jc w:val="center"/>
              <w:rPr>
                <w:rFonts w:ascii="Times New Roman" w:hAnsi="Times New Roman" w:cs="Times New Roman"/>
                <w:b/>
                <w:sz w:val="24"/>
                <w:szCs w:val="24"/>
              </w:rPr>
            </w:pPr>
          </w:p>
        </w:tc>
        <w:tc>
          <w:tcPr>
            <w:tcW w:w="119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60"/>
            </w:tblGrid>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11.81200</w:t>
                  </w:r>
                </w:p>
              </w:tc>
            </w:tr>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10.04296</w:t>
                  </w:r>
                </w:p>
              </w:tc>
            </w:tr>
          </w:tbl>
          <w:p w:rsidR="0009667F" w:rsidRPr="000D1D1D" w:rsidRDefault="0009667F" w:rsidP="00BE3CDB">
            <w:pPr>
              <w:jc w:val="center"/>
              <w:rPr>
                <w:rFonts w:ascii="Times New Roman" w:hAnsi="Times New Roman" w:cs="Times New Roman"/>
                <w:b/>
                <w:sz w:val="24"/>
                <w:szCs w:val="24"/>
              </w:rPr>
            </w:pPr>
          </w:p>
        </w:tc>
        <w:tc>
          <w:tcPr>
            <w:tcW w:w="128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37"/>
            </w:tblGrid>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17.45497</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26.75521</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p>
              </w:tc>
            </w:tr>
          </w:tbl>
          <w:p w:rsidR="0009667F" w:rsidRPr="000D1D1D" w:rsidRDefault="0009667F" w:rsidP="00BE3CDB">
            <w:pPr>
              <w:jc w:val="center"/>
              <w:rPr>
                <w:rFonts w:ascii="Times New Roman" w:hAnsi="Times New Roman" w:cs="Times New Roman"/>
                <w:b/>
                <w:sz w:val="24"/>
                <w:szCs w:val="24"/>
              </w:rPr>
            </w:pPr>
          </w:p>
        </w:tc>
      </w:tr>
      <w:tr w:rsidR="0009667F" w:rsidRPr="000D1D1D" w:rsidTr="00BE3CDB">
        <w:tc>
          <w:tcPr>
            <w:tcW w:w="2049" w:type="dxa"/>
            <w:tcBorders>
              <w:top w:val="single" w:sz="4" w:space="0" w:color="auto"/>
              <w:bottom w:val="single" w:sz="4" w:space="0" w:color="auto"/>
            </w:tcBorders>
          </w:tcPr>
          <w:p w:rsidR="0009667F" w:rsidRPr="000D1D1D" w:rsidRDefault="0009667F" w:rsidP="00BE3CDB">
            <w:pPr>
              <w:jc w:val="center"/>
              <w:rPr>
                <w:rFonts w:ascii="Times New Roman" w:hAnsi="Times New Roman" w:cs="Times New Roman"/>
                <w:b/>
                <w:sz w:val="24"/>
                <w:szCs w:val="24"/>
              </w:rPr>
            </w:pPr>
            <w:r w:rsidRPr="000D1D1D">
              <w:rPr>
                <w:rFonts w:ascii="Times New Roman" w:hAnsi="Times New Roman" w:cs="Times New Roman"/>
                <w:b/>
                <w:sz w:val="24"/>
                <w:szCs w:val="24"/>
              </w:rPr>
              <w:t>LNNPLIB</w:t>
            </w:r>
          </w:p>
        </w:tc>
        <w:tc>
          <w:tcPr>
            <w:tcW w:w="914"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652"/>
            </w:tblGrid>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12</w:t>
                  </w:r>
                </w:p>
              </w:tc>
            </w:tr>
            <w:tr w:rsidR="0009667F" w:rsidRPr="000D1D1D" w:rsidTr="00BE3CDB">
              <w:trPr>
                <w:trHeight w:val="225"/>
              </w:trPr>
              <w:tc>
                <w:tcPr>
                  <w:tcW w:w="65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24</w:t>
                  </w:r>
                </w:p>
              </w:tc>
            </w:tr>
          </w:tbl>
          <w:p w:rsidR="0009667F" w:rsidRPr="000D1D1D" w:rsidRDefault="0009667F" w:rsidP="00BE3CDB">
            <w:pPr>
              <w:jc w:val="center"/>
              <w:rPr>
                <w:rFonts w:ascii="Times New Roman" w:hAnsi="Times New Roman" w:cs="Times New Roman"/>
                <w:b/>
                <w:sz w:val="24"/>
                <w:szCs w:val="24"/>
              </w:rPr>
            </w:pPr>
          </w:p>
        </w:tc>
        <w:tc>
          <w:tcPr>
            <w:tcW w:w="1230"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4"/>
            </w:tblGrid>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11.97420</w:t>
                  </w:r>
                </w:p>
              </w:tc>
            </w:tr>
            <w:tr w:rsidR="0009667F" w:rsidRPr="000D1D1D" w:rsidTr="00BE3CDB">
              <w:trPr>
                <w:trHeight w:val="225"/>
              </w:trPr>
              <w:tc>
                <w:tcPr>
                  <w:tcW w:w="984"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10.53501</w:t>
                  </w:r>
                </w:p>
              </w:tc>
            </w:tr>
          </w:tbl>
          <w:p w:rsidR="0009667F" w:rsidRPr="000D1D1D" w:rsidRDefault="0009667F" w:rsidP="00BE3CDB">
            <w:pPr>
              <w:jc w:val="center"/>
              <w:rPr>
                <w:rFonts w:ascii="Times New Roman" w:hAnsi="Times New Roman" w:cs="Times New Roman"/>
                <w:b/>
                <w:sz w:val="24"/>
                <w:szCs w:val="24"/>
              </w:rPr>
            </w:pPr>
          </w:p>
        </w:tc>
        <w:tc>
          <w:tcPr>
            <w:tcW w:w="1258"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88"/>
            </w:tblGrid>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20.25423</w:t>
                  </w:r>
                </w:p>
              </w:tc>
            </w:tr>
            <w:tr w:rsidR="0009667F" w:rsidRPr="000D1D1D" w:rsidTr="00BE3CDB">
              <w:trPr>
                <w:trHeight w:val="225"/>
              </w:trPr>
              <w:tc>
                <w:tcPr>
                  <w:tcW w:w="1012"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21.39722</w:t>
                  </w:r>
                </w:p>
              </w:tc>
            </w:tr>
          </w:tbl>
          <w:p w:rsidR="0009667F" w:rsidRPr="000D1D1D" w:rsidRDefault="0009667F" w:rsidP="00BE3CDB">
            <w:pPr>
              <w:jc w:val="center"/>
              <w:rPr>
                <w:rFonts w:ascii="Times New Roman" w:hAnsi="Times New Roman" w:cs="Times New Roman"/>
                <w:b/>
                <w:sz w:val="24"/>
                <w:szCs w:val="24"/>
              </w:rPr>
            </w:pPr>
          </w:p>
        </w:tc>
        <w:tc>
          <w:tcPr>
            <w:tcW w:w="1315"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18"/>
            </w:tblGrid>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16.19245</w:t>
                  </w:r>
                </w:p>
              </w:tc>
            </w:tr>
            <w:tr w:rsidR="0009667F" w:rsidRPr="000D1D1D" w:rsidTr="00BE3CDB">
              <w:trPr>
                <w:trHeight w:val="225"/>
              </w:trPr>
              <w:tc>
                <w:tcPr>
                  <w:tcW w:w="1069"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16.62239</w:t>
                  </w:r>
                </w:p>
              </w:tc>
            </w:tr>
          </w:tbl>
          <w:p w:rsidR="0009667F" w:rsidRPr="000D1D1D" w:rsidRDefault="0009667F" w:rsidP="00BE3CDB">
            <w:pPr>
              <w:jc w:val="center"/>
              <w:rPr>
                <w:rFonts w:ascii="Times New Roman" w:hAnsi="Times New Roman" w:cs="Times New Roman"/>
                <w:b/>
                <w:sz w:val="24"/>
                <w:szCs w:val="24"/>
              </w:rPr>
            </w:pPr>
          </w:p>
        </w:tc>
        <w:tc>
          <w:tcPr>
            <w:tcW w:w="119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960"/>
            </w:tblGrid>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11.95905</w:t>
                  </w:r>
                </w:p>
              </w:tc>
            </w:tr>
            <w:tr w:rsidR="0009667F" w:rsidRPr="000D1D1D" w:rsidTr="00BE3CDB">
              <w:trPr>
                <w:trHeight w:val="225"/>
              </w:trPr>
              <w:tc>
                <w:tcPr>
                  <w:tcW w:w="94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10.87033</w:t>
                  </w:r>
                </w:p>
              </w:tc>
            </w:tr>
          </w:tbl>
          <w:p w:rsidR="0009667F" w:rsidRPr="000D1D1D" w:rsidRDefault="0009667F" w:rsidP="00BE3CDB">
            <w:pPr>
              <w:jc w:val="center"/>
              <w:rPr>
                <w:rFonts w:ascii="Times New Roman" w:hAnsi="Times New Roman" w:cs="Times New Roman"/>
                <w:b/>
                <w:sz w:val="24"/>
                <w:szCs w:val="24"/>
              </w:rPr>
            </w:pPr>
          </w:p>
        </w:tc>
        <w:tc>
          <w:tcPr>
            <w:tcW w:w="1283" w:type="dxa"/>
            <w:tcBorders>
              <w:top w:val="single" w:sz="4" w:space="0" w:color="auto"/>
              <w:bottom w:val="single" w:sz="4" w:space="0" w:color="auto"/>
            </w:tcBorders>
          </w:tcPr>
          <w:tbl>
            <w:tblPr>
              <w:tblW w:w="0" w:type="auto"/>
              <w:tblInd w:w="30" w:type="dxa"/>
              <w:tblCellMar>
                <w:left w:w="0" w:type="dxa"/>
                <w:right w:w="0" w:type="dxa"/>
              </w:tblCellMar>
              <w:tblLook w:val="0000" w:firstRow="0" w:lastRow="0" w:firstColumn="0" w:lastColumn="0" w:noHBand="0" w:noVBand="0"/>
            </w:tblPr>
            <w:tblGrid>
              <w:gridCol w:w="1037"/>
            </w:tblGrid>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39.62007</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r w:rsidRPr="000D1D1D">
                    <w:rPr>
                      <w:rFonts w:ascii="Times New Roman" w:hAnsi="Times New Roman" w:cs="Times New Roman"/>
                      <w:color w:val="000000"/>
                      <w:sz w:val="24"/>
                      <w:szCs w:val="24"/>
                    </w:rPr>
                    <w:t> 40.57506</w:t>
                  </w:r>
                </w:p>
              </w:tc>
            </w:tr>
            <w:tr w:rsidR="0009667F" w:rsidRPr="000D1D1D" w:rsidTr="00BE3CDB">
              <w:trPr>
                <w:trHeight w:val="225"/>
              </w:trPr>
              <w:tc>
                <w:tcPr>
                  <w:tcW w:w="1037" w:type="dxa"/>
                  <w:tcBorders>
                    <w:top w:val="nil"/>
                    <w:left w:val="nil"/>
                    <w:bottom w:val="nil"/>
                    <w:right w:val="nil"/>
                  </w:tcBorders>
                  <w:vAlign w:val="bottom"/>
                </w:tcPr>
                <w:p w:rsidR="0009667F" w:rsidRPr="000D1D1D" w:rsidRDefault="0009667F" w:rsidP="00BE3CDB">
                  <w:pPr>
                    <w:autoSpaceDE w:val="0"/>
                    <w:autoSpaceDN w:val="0"/>
                    <w:adjustRightInd w:val="0"/>
                    <w:spacing w:after="0" w:line="240" w:lineRule="auto"/>
                    <w:jc w:val="center"/>
                    <w:rPr>
                      <w:rFonts w:ascii="Times New Roman" w:hAnsi="Times New Roman" w:cs="Times New Roman"/>
                      <w:color w:val="000000"/>
                      <w:sz w:val="24"/>
                      <w:szCs w:val="24"/>
                    </w:rPr>
                  </w:pPr>
                </w:p>
              </w:tc>
            </w:tr>
          </w:tbl>
          <w:p w:rsidR="0009667F" w:rsidRPr="000D1D1D" w:rsidRDefault="0009667F" w:rsidP="00BE3CDB">
            <w:pPr>
              <w:jc w:val="center"/>
              <w:rPr>
                <w:rFonts w:ascii="Times New Roman" w:hAnsi="Times New Roman" w:cs="Times New Roman"/>
                <w:b/>
                <w:sz w:val="24"/>
                <w:szCs w:val="24"/>
              </w:rPr>
            </w:pPr>
          </w:p>
        </w:tc>
      </w:tr>
    </w:tbl>
    <w:p w:rsidR="00842BCC" w:rsidRDefault="00842BCC" w:rsidP="000D1D1D">
      <w:pPr>
        <w:jc w:val="both"/>
        <w:rPr>
          <w:rFonts w:ascii="Times New Roman" w:hAnsi="Times New Roman" w:cs="Times New Roman"/>
        </w:rPr>
      </w:pPr>
    </w:p>
    <w:p w:rsidR="00230B10" w:rsidRPr="000D1D1D" w:rsidRDefault="0081009A" w:rsidP="001D25B9">
      <w:pPr>
        <w:ind w:firstLine="720"/>
        <w:jc w:val="both"/>
        <w:rPr>
          <w:rFonts w:ascii="Times New Roman" w:hAnsi="Times New Roman" w:cs="Times New Roman"/>
          <w:sz w:val="24"/>
          <w:szCs w:val="24"/>
        </w:rPr>
      </w:pPr>
      <w:r w:rsidRPr="000D1D1D">
        <w:rPr>
          <w:rFonts w:ascii="Times New Roman" w:hAnsi="Times New Roman" w:cs="Times New Roman"/>
          <w:sz w:val="24"/>
          <w:szCs w:val="24"/>
        </w:rPr>
        <w:t>As shown in figure 2</w:t>
      </w:r>
      <w:r w:rsidR="001D25B9" w:rsidRPr="000D1D1D">
        <w:rPr>
          <w:rFonts w:ascii="Times New Roman" w:hAnsi="Times New Roman" w:cs="Times New Roman"/>
          <w:sz w:val="24"/>
          <w:szCs w:val="24"/>
        </w:rPr>
        <w:t xml:space="preserve">, we have identified several interesting </w:t>
      </w:r>
      <w:proofErr w:type="gramStart"/>
      <w:r w:rsidR="001D25B9" w:rsidRPr="000D1D1D">
        <w:rPr>
          <w:rFonts w:ascii="Times New Roman" w:hAnsi="Times New Roman" w:cs="Times New Roman"/>
          <w:sz w:val="24"/>
          <w:szCs w:val="24"/>
        </w:rPr>
        <w:t>relationship</w:t>
      </w:r>
      <w:proofErr w:type="gramEnd"/>
      <w:r w:rsidR="001D25B9" w:rsidRPr="000D1D1D">
        <w:rPr>
          <w:rFonts w:ascii="Times New Roman" w:hAnsi="Times New Roman" w:cs="Times New Roman"/>
          <w:sz w:val="24"/>
          <w:szCs w:val="24"/>
        </w:rPr>
        <w:t xml:space="preserve"> in the short </w:t>
      </w:r>
      <w:r w:rsidR="00574E16" w:rsidRPr="000D1D1D">
        <w:rPr>
          <w:rFonts w:ascii="Times New Roman" w:hAnsi="Times New Roman" w:cs="Times New Roman"/>
          <w:sz w:val="24"/>
          <w:szCs w:val="24"/>
        </w:rPr>
        <w:t>-</w:t>
      </w:r>
      <w:r w:rsidR="001D25B9" w:rsidRPr="000D1D1D">
        <w:rPr>
          <w:rFonts w:ascii="Times New Roman" w:hAnsi="Times New Roman" w:cs="Times New Roman"/>
          <w:sz w:val="24"/>
          <w:szCs w:val="24"/>
        </w:rPr>
        <w:t xml:space="preserve">run and long </w:t>
      </w:r>
      <w:r w:rsidR="00574E16" w:rsidRPr="000D1D1D">
        <w:rPr>
          <w:rFonts w:ascii="Times New Roman" w:hAnsi="Times New Roman" w:cs="Times New Roman"/>
          <w:sz w:val="24"/>
          <w:szCs w:val="24"/>
        </w:rPr>
        <w:t xml:space="preserve">- </w:t>
      </w:r>
      <w:r w:rsidRPr="000D1D1D">
        <w:rPr>
          <w:rFonts w:ascii="Times New Roman" w:hAnsi="Times New Roman" w:cs="Times New Roman"/>
          <w:sz w:val="24"/>
          <w:szCs w:val="24"/>
        </w:rPr>
        <w:t>run. As seen from figure 2</w:t>
      </w:r>
      <w:r w:rsidR="001D25B9" w:rsidRPr="000D1D1D">
        <w:rPr>
          <w:rFonts w:ascii="Times New Roman" w:hAnsi="Times New Roman" w:cs="Times New Roman"/>
          <w:sz w:val="24"/>
          <w:szCs w:val="24"/>
        </w:rPr>
        <w:t>, the results of IRF is consistent with VDCs where RGDP response positively for shock in TDIB and TFIB. Between 1- 3 months, TDIB increased gradual</w:t>
      </w:r>
      <w:r w:rsidR="006C5ADF" w:rsidRPr="000D1D1D">
        <w:rPr>
          <w:rFonts w:ascii="Times New Roman" w:hAnsi="Times New Roman" w:cs="Times New Roman"/>
          <w:sz w:val="24"/>
          <w:szCs w:val="24"/>
        </w:rPr>
        <w:t>ly and become slow in the long-</w:t>
      </w:r>
      <w:r w:rsidR="001D25B9" w:rsidRPr="000D1D1D">
        <w:rPr>
          <w:rFonts w:ascii="Times New Roman" w:hAnsi="Times New Roman" w:cs="Times New Roman"/>
          <w:sz w:val="24"/>
          <w:szCs w:val="24"/>
        </w:rPr>
        <w:t>run (10 months). In addition, this result confirms the movement of TDIB is consistent with the Granger causality test. In the case of TFIB, it was positively slow during 1 – 3 months but increased gradually in the long</w:t>
      </w:r>
      <w:r w:rsidR="00574E16" w:rsidRPr="000D1D1D">
        <w:rPr>
          <w:rFonts w:ascii="Times New Roman" w:hAnsi="Times New Roman" w:cs="Times New Roman"/>
          <w:sz w:val="24"/>
          <w:szCs w:val="24"/>
        </w:rPr>
        <w:t>-</w:t>
      </w:r>
      <w:r w:rsidR="001D25B9" w:rsidRPr="000D1D1D">
        <w:rPr>
          <w:rFonts w:ascii="Times New Roman" w:hAnsi="Times New Roman" w:cs="Times New Roman"/>
          <w:sz w:val="24"/>
          <w:szCs w:val="24"/>
        </w:rPr>
        <w:t xml:space="preserve">run. </w:t>
      </w:r>
    </w:p>
    <w:p w:rsidR="00450DF8" w:rsidRDefault="001D25B9" w:rsidP="00761AC5">
      <w:pPr>
        <w:ind w:firstLine="720"/>
        <w:jc w:val="both"/>
        <w:rPr>
          <w:rFonts w:ascii="Times New Roman" w:hAnsi="Times New Roman" w:cs="Times New Roman"/>
          <w:sz w:val="24"/>
          <w:szCs w:val="24"/>
        </w:rPr>
      </w:pPr>
      <w:r w:rsidRPr="000D1D1D">
        <w:rPr>
          <w:rFonts w:ascii="Times New Roman" w:hAnsi="Times New Roman" w:cs="Times New Roman"/>
          <w:sz w:val="24"/>
          <w:szCs w:val="24"/>
        </w:rPr>
        <w:t>Consistent with long - run equation, RGDP where respond positively stable towards shock in TA in the short</w:t>
      </w:r>
      <w:r w:rsidR="006C5ADF" w:rsidRPr="000D1D1D">
        <w:rPr>
          <w:rFonts w:ascii="Times New Roman" w:hAnsi="Times New Roman" w:cs="Times New Roman"/>
          <w:sz w:val="24"/>
          <w:szCs w:val="24"/>
        </w:rPr>
        <w:t>-</w:t>
      </w:r>
      <w:r w:rsidRPr="000D1D1D">
        <w:rPr>
          <w:rFonts w:ascii="Times New Roman" w:hAnsi="Times New Roman" w:cs="Times New Roman"/>
          <w:sz w:val="24"/>
          <w:szCs w:val="24"/>
        </w:rPr>
        <w:t>run and long</w:t>
      </w:r>
      <w:r w:rsidR="006C5ADF" w:rsidRPr="000D1D1D">
        <w:rPr>
          <w:rFonts w:ascii="Times New Roman" w:hAnsi="Times New Roman" w:cs="Times New Roman"/>
          <w:sz w:val="24"/>
          <w:szCs w:val="24"/>
        </w:rPr>
        <w:t>-</w:t>
      </w:r>
      <w:r w:rsidRPr="000D1D1D">
        <w:rPr>
          <w:rFonts w:ascii="Times New Roman" w:hAnsi="Times New Roman" w:cs="Times New Roman"/>
          <w:sz w:val="24"/>
          <w:szCs w:val="24"/>
        </w:rPr>
        <w:t>run. Same result was found for NPL where it is consi</w:t>
      </w:r>
      <w:r w:rsidR="00320B80" w:rsidRPr="000D1D1D">
        <w:rPr>
          <w:rFonts w:ascii="Times New Roman" w:hAnsi="Times New Roman" w:cs="Times New Roman"/>
          <w:sz w:val="24"/>
          <w:szCs w:val="24"/>
        </w:rPr>
        <w:t>stent with long – run equation where i</w:t>
      </w:r>
      <w:r w:rsidRPr="000D1D1D">
        <w:rPr>
          <w:rFonts w:ascii="Times New Roman" w:hAnsi="Times New Roman" w:cs="Times New Roman"/>
          <w:sz w:val="24"/>
          <w:szCs w:val="24"/>
        </w:rPr>
        <w:t>nnovation in RGDP responds negatively during shor</w:t>
      </w:r>
      <w:r w:rsidR="006C5ADF" w:rsidRPr="000D1D1D">
        <w:rPr>
          <w:rFonts w:ascii="Times New Roman" w:hAnsi="Times New Roman" w:cs="Times New Roman"/>
          <w:sz w:val="24"/>
          <w:szCs w:val="24"/>
        </w:rPr>
        <w:t>t-</w:t>
      </w:r>
      <w:r w:rsidRPr="000D1D1D">
        <w:rPr>
          <w:rFonts w:ascii="Times New Roman" w:hAnsi="Times New Roman" w:cs="Times New Roman"/>
          <w:sz w:val="24"/>
          <w:szCs w:val="24"/>
        </w:rPr>
        <w:t>run and positively in the long</w:t>
      </w:r>
      <w:r w:rsidR="006C5ADF" w:rsidRPr="000D1D1D">
        <w:rPr>
          <w:rFonts w:ascii="Times New Roman" w:hAnsi="Times New Roman" w:cs="Times New Roman"/>
          <w:sz w:val="24"/>
          <w:szCs w:val="24"/>
        </w:rPr>
        <w:t>-</w:t>
      </w:r>
      <w:r w:rsidRPr="000D1D1D">
        <w:rPr>
          <w:rFonts w:ascii="Times New Roman" w:hAnsi="Times New Roman" w:cs="Times New Roman"/>
          <w:sz w:val="24"/>
          <w:szCs w:val="24"/>
        </w:rPr>
        <w:t xml:space="preserve"> run. </w:t>
      </w: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Default="000D1D1D" w:rsidP="00761AC5">
      <w:pPr>
        <w:ind w:firstLine="720"/>
        <w:jc w:val="both"/>
        <w:rPr>
          <w:rFonts w:ascii="Times New Roman" w:hAnsi="Times New Roman" w:cs="Times New Roman"/>
          <w:sz w:val="24"/>
          <w:szCs w:val="24"/>
        </w:rPr>
      </w:pPr>
    </w:p>
    <w:p w:rsidR="000D1D1D" w:rsidRPr="000D1D1D" w:rsidRDefault="000D1D1D" w:rsidP="00761AC5">
      <w:pPr>
        <w:ind w:firstLine="720"/>
        <w:jc w:val="both"/>
        <w:rPr>
          <w:rFonts w:ascii="Times New Roman" w:hAnsi="Times New Roman" w:cs="Times New Roman"/>
          <w:sz w:val="24"/>
          <w:szCs w:val="24"/>
        </w:rPr>
      </w:pPr>
    </w:p>
    <w:p w:rsidR="00230B10" w:rsidRPr="000D1D1D" w:rsidRDefault="0081009A" w:rsidP="0009667F">
      <w:pPr>
        <w:ind w:firstLine="720"/>
        <w:jc w:val="center"/>
        <w:rPr>
          <w:rFonts w:ascii="Times New Roman" w:hAnsi="Times New Roman" w:cs="Times New Roman"/>
          <w:b/>
          <w:sz w:val="24"/>
          <w:szCs w:val="24"/>
        </w:rPr>
      </w:pPr>
      <w:r w:rsidRPr="000D1D1D">
        <w:rPr>
          <w:rFonts w:ascii="Times New Roman" w:hAnsi="Times New Roman" w:cs="Times New Roman"/>
          <w:b/>
          <w:sz w:val="24"/>
          <w:szCs w:val="24"/>
        </w:rPr>
        <w:lastRenderedPageBreak/>
        <w:t>Figure 2</w:t>
      </w:r>
      <w:r w:rsidR="00230B10" w:rsidRPr="000D1D1D">
        <w:rPr>
          <w:rFonts w:ascii="Times New Roman" w:hAnsi="Times New Roman" w:cs="Times New Roman"/>
          <w:b/>
          <w:sz w:val="24"/>
          <w:szCs w:val="24"/>
        </w:rPr>
        <w:t>: Result of Impulse Response Function (IRF)</w:t>
      </w:r>
    </w:p>
    <w:p w:rsidR="0081009A" w:rsidRPr="00450DF8" w:rsidRDefault="00230B10" w:rsidP="00A6689D">
      <w:pPr>
        <w:rPr>
          <w:rFonts w:ascii="Times New Roman" w:hAnsi="Times New Roman" w:cs="Times New Roman"/>
          <w:sz w:val="20"/>
          <w:szCs w:val="20"/>
        </w:rPr>
      </w:pPr>
      <w:r w:rsidRPr="00450DF8">
        <w:rPr>
          <w:rFonts w:ascii="Times New Roman" w:hAnsi="Times New Roman" w:cs="Times New Roman"/>
          <w:noProof/>
          <w:sz w:val="20"/>
          <w:szCs w:val="20"/>
          <w:lang w:val="en-US"/>
        </w:rPr>
        <w:drawing>
          <wp:inline distT="0" distB="0" distL="0" distR="0">
            <wp:extent cx="5933440" cy="4848447"/>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937455" cy="4851728"/>
                    </a:xfrm>
                    <a:prstGeom prst="rect">
                      <a:avLst/>
                    </a:prstGeom>
                    <a:noFill/>
                    <a:ln w="9525">
                      <a:noFill/>
                      <a:miter lim="800000"/>
                      <a:headEnd/>
                      <a:tailEnd/>
                    </a:ln>
                  </pic:spPr>
                </pic:pic>
              </a:graphicData>
            </a:graphic>
          </wp:inline>
        </w:drawing>
      </w:r>
      <w:bookmarkStart w:id="0" w:name="_GoBack"/>
      <w:bookmarkEnd w:id="0"/>
    </w:p>
    <w:p w:rsidR="004160A0" w:rsidRPr="000D1D1D" w:rsidRDefault="0081009A" w:rsidP="0081009A">
      <w:pPr>
        <w:rPr>
          <w:rFonts w:ascii="Times New Roman" w:hAnsi="Times New Roman" w:cs="Times New Roman"/>
          <w:b/>
          <w:sz w:val="24"/>
          <w:szCs w:val="24"/>
        </w:rPr>
      </w:pPr>
      <w:r w:rsidRPr="000D1D1D">
        <w:rPr>
          <w:rFonts w:ascii="Times New Roman" w:hAnsi="Times New Roman" w:cs="Times New Roman"/>
          <w:b/>
          <w:sz w:val="24"/>
          <w:szCs w:val="24"/>
        </w:rPr>
        <w:t>Conclusion and Policy Recommendations</w:t>
      </w:r>
    </w:p>
    <w:p w:rsidR="005842C9" w:rsidRPr="000D1D1D" w:rsidRDefault="00761AC5" w:rsidP="00B333C2">
      <w:pPr>
        <w:autoSpaceDE w:val="0"/>
        <w:autoSpaceDN w:val="0"/>
        <w:adjustRightInd w:val="0"/>
        <w:spacing w:after="0"/>
        <w:jc w:val="both"/>
        <w:rPr>
          <w:rFonts w:ascii="Times New Roman" w:hAnsi="Times New Roman" w:cs="Times New Roman"/>
          <w:sz w:val="24"/>
          <w:szCs w:val="24"/>
        </w:rPr>
      </w:pPr>
      <w:r w:rsidRPr="000D1D1D">
        <w:rPr>
          <w:rFonts w:ascii="Times New Roman" w:hAnsi="Times New Roman" w:cs="Times New Roman"/>
          <w:sz w:val="24"/>
          <w:szCs w:val="24"/>
        </w:rPr>
        <w:t xml:space="preserve">This purpose of this study is to </w:t>
      </w:r>
      <w:r w:rsidR="004160A0" w:rsidRPr="000D1D1D">
        <w:rPr>
          <w:rFonts w:ascii="Times New Roman" w:hAnsi="Times New Roman" w:cs="Times New Roman"/>
          <w:sz w:val="24"/>
          <w:szCs w:val="24"/>
        </w:rPr>
        <w:t>add value to the literature on the contribution of Islamic banking towards economic growth in Malaysia by looking at various diffusions of Islamic key performance indicators. Using cointegration methodology, the findings indicates that Islamic bank does contribute to the Malaysian economic growth in the long – r</w:t>
      </w:r>
      <w:r w:rsidRPr="000D1D1D">
        <w:rPr>
          <w:rFonts w:ascii="Times New Roman" w:hAnsi="Times New Roman" w:cs="Times New Roman"/>
          <w:sz w:val="24"/>
          <w:szCs w:val="24"/>
        </w:rPr>
        <w:t>un and short-run.  This finding</w:t>
      </w:r>
      <w:r w:rsidR="004160A0" w:rsidRPr="000D1D1D">
        <w:rPr>
          <w:rFonts w:ascii="Times New Roman" w:hAnsi="Times New Roman" w:cs="Times New Roman"/>
          <w:sz w:val="24"/>
          <w:szCs w:val="24"/>
        </w:rPr>
        <w:t xml:space="preserve"> is sup</w:t>
      </w:r>
      <w:r w:rsidRPr="000D1D1D">
        <w:rPr>
          <w:rFonts w:ascii="Times New Roman" w:hAnsi="Times New Roman" w:cs="Times New Roman"/>
          <w:sz w:val="24"/>
          <w:szCs w:val="24"/>
        </w:rPr>
        <w:t>ported by previous evidence where</w:t>
      </w:r>
      <w:r w:rsidR="004160A0" w:rsidRPr="000D1D1D">
        <w:rPr>
          <w:rFonts w:ascii="Times New Roman" w:hAnsi="Times New Roman" w:cs="Times New Roman"/>
          <w:sz w:val="24"/>
          <w:szCs w:val="24"/>
        </w:rPr>
        <w:t xml:space="preserve"> Islamic banking did contribute to the economic growth (Yusof and </w:t>
      </w:r>
      <w:r w:rsidR="004160A0" w:rsidRPr="000D1D1D">
        <w:rPr>
          <w:rFonts w:ascii="Times New Roman" w:hAnsi="Times New Roman" w:cs="Times New Roman"/>
          <w:color w:val="000000"/>
          <w:sz w:val="24"/>
          <w:szCs w:val="24"/>
          <w:shd w:val="clear" w:color="auto" w:fill="FFFFFF"/>
        </w:rPr>
        <w:t xml:space="preserve">Bahlous, 2013; and </w:t>
      </w:r>
      <w:r w:rsidR="004160A0" w:rsidRPr="000D1D1D">
        <w:rPr>
          <w:rFonts w:ascii="Times New Roman" w:hAnsi="Times New Roman" w:cs="Times New Roman"/>
          <w:sz w:val="24"/>
          <w:szCs w:val="24"/>
        </w:rPr>
        <w:t>Abduh and Chowdury, 2012).</w:t>
      </w:r>
      <w:r w:rsidR="00B333C2" w:rsidRPr="000D1D1D">
        <w:rPr>
          <w:rFonts w:ascii="Times New Roman" w:hAnsi="Times New Roman" w:cs="Times New Roman"/>
          <w:sz w:val="24"/>
          <w:szCs w:val="24"/>
        </w:rPr>
        <w:t xml:space="preserve"> Hence, it is very clear that Islamic Banking and Finance (IBF) </w:t>
      </w:r>
      <w:r w:rsidR="005842C9" w:rsidRPr="000D1D1D">
        <w:rPr>
          <w:rFonts w:ascii="Times New Roman" w:hAnsi="Times New Roman" w:cs="Times New Roman"/>
          <w:sz w:val="24"/>
          <w:szCs w:val="24"/>
        </w:rPr>
        <w:t>are</w:t>
      </w:r>
      <w:r w:rsidR="00B333C2" w:rsidRPr="000D1D1D">
        <w:rPr>
          <w:rFonts w:ascii="Times New Roman" w:hAnsi="Times New Roman" w:cs="Times New Roman"/>
          <w:sz w:val="24"/>
          <w:szCs w:val="24"/>
        </w:rPr>
        <w:t xml:space="preserve"> experiencing marvellous growth around the world and also in Malaysia. </w:t>
      </w:r>
    </w:p>
    <w:p w:rsidR="005842C9" w:rsidRPr="000D1D1D" w:rsidRDefault="005842C9" w:rsidP="00B333C2">
      <w:pPr>
        <w:autoSpaceDE w:val="0"/>
        <w:autoSpaceDN w:val="0"/>
        <w:adjustRightInd w:val="0"/>
        <w:spacing w:after="0"/>
        <w:jc w:val="both"/>
        <w:rPr>
          <w:rFonts w:ascii="Times New Roman" w:hAnsi="Times New Roman" w:cs="Times New Roman"/>
          <w:sz w:val="24"/>
          <w:szCs w:val="24"/>
        </w:rPr>
      </w:pPr>
    </w:p>
    <w:p w:rsidR="005842C9" w:rsidRPr="000D1D1D" w:rsidRDefault="00B333C2" w:rsidP="00D15C91">
      <w:pPr>
        <w:autoSpaceDE w:val="0"/>
        <w:autoSpaceDN w:val="0"/>
        <w:adjustRightInd w:val="0"/>
        <w:spacing w:after="0"/>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As identified by Earnst and Young (E&amp;Y), World Islamic Banking Competitiveness report (2012-2013) stated that Malaysia has emerged one of the six significantly important markets for IBF together with Saudi Arabia, Qatar, Bahrain, Indonesia, Turkey and United Arab Emirates. Moreover, as reported by The Economist magazine, over a fifth of Malaysia’s banking system was already Shariah – compliant and the ability to capture a larger slice of the global Sukuk or Islamic bond market in 2014. There are many factor contribute to such a remarkable achievement such as population where in Malaysia, over 60% of the population are </w:t>
      </w:r>
      <w:r w:rsidRPr="000D1D1D">
        <w:rPr>
          <w:rFonts w:ascii="Times New Roman" w:hAnsi="Times New Roman" w:cs="Times New Roman"/>
          <w:sz w:val="24"/>
          <w:szCs w:val="24"/>
        </w:rPr>
        <w:lastRenderedPageBreak/>
        <w:t>Muslims, role of government in promoting IBF, collaboration among banks, standard guidelines in regards rules and regulations pertaining to Shariah and many other factors.</w:t>
      </w:r>
    </w:p>
    <w:p w:rsidR="005842C9" w:rsidRPr="000D1D1D" w:rsidRDefault="005842C9" w:rsidP="00B333C2">
      <w:pPr>
        <w:autoSpaceDE w:val="0"/>
        <w:autoSpaceDN w:val="0"/>
        <w:adjustRightInd w:val="0"/>
        <w:spacing w:after="0"/>
        <w:jc w:val="both"/>
        <w:rPr>
          <w:rFonts w:ascii="Times New Roman" w:hAnsi="Times New Roman" w:cs="Times New Roman"/>
          <w:sz w:val="24"/>
          <w:szCs w:val="24"/>
        </w:rPr>
      </w:pPr>
    </w:p>
    <w:p w:rsidR="005842C9" w:rsidRPr="000D1D1D" w:rsidRDefault="00B333C2" w:rsidP="00D15C91">
      <w:pPr>
        <w:autoSpaceDE w:val="0"/>
        <w:autoSpaceDN w:val="0"/>
        <w:adjustRightInd w:val="0"/>
        <w:spacing w:after="0"/>
        <w:ind w:firstLine="720"/>
        <w:jc w:val="both"/>
        <w:rPr>
          <w:rFonts w:ascii="Times New Roman" w:hAnsi="Times New Roman" w:cs="Times New Roman"/>
          <w:sz w:val="24"/>
          <w:szCs w:val="24"/>
        </w:rPr>
      </w:pPr>
      <w:r w:rsidRPr="000D1D1D">
        <w:rPr>
          <w:rFonts w:ascii="Times New Roman" w:hAnsi="Times New Roman" w:cs="Times New Roman"/>
          <w:sz w:val="24"/>
          <w:szCs w:val="24"/>
        </w:rPr>
        <w:t xml:space="preserve">In addition, as of November 2013, MIFC reported that the Islamic banking assets in Malaysia were already reached USD132 billion and it is also </w:t>
      </w:r>
      <w:r w:rsidR="000D1D1D" w:rsidRPr="000D1D1D">
        <w:rPr>
          <w:rFonts w:ascii="Times New Roman" w:hAnsi="Times New Roman" w:cs="Times New Roman"/>
          <w:sz w:val="24"/>
          <w:szCs w:val="24"/>
        </w:rPr>
        <w:t>representing</w:t>
      </w:r>
      <w:r w:rsidRPr="000D1D1D">
        <w:rPr>
          <w:rFonts w:ascii="Times New Roman" w:hAnsi="Times New Roman" w:cs="Times New Roman"/>
          <w:sz w:val="24"/>
          <w:szCs w:val="24"/>
        </w:rPr>
        <w:t xml:space="preserve"> 13 percent of the global banking assets. Moreover, the role of Malaysian government has </w:t>
      </w:r>
      <w:r w:rsidR="005842C9" w:rsidRPr="000D1D1D">
        <w:rPr>
          <w:rFonts w:ascii="Times New Roman" w:hAnsi="Times New Roman" w:cs="Times New Roman"/>
          <w:sz w:val="24"/>
          <w:szCs w:val="24"/>
        </w:rPr>
        <w:t xml:space="preserve">also </w:t>
      </w:r>
      <w:r w:rsidR="000D1D1D" w:rsidRPr="000D1D1D">
        <w:rPr>
          <w:rFonts w:ascii="Times New Roman" w:hAnsi="Times New Roman" w:cs="Times New Roman"/>
          <w:sz w:val="24"/>
          <w:szCs w:val="24"/>
        </w:rPr>
        <w:t>stimulated</w:t>
      </w:r>
      <w:r w:rsidRPr="000D1D1D">
        <w:rPr>
          <w:rFonts w:ascii="Times New Roman" w:hAnsi="Times New Roman" w:cs="Times New Roman"/>
          <w:sz w:val="24"/>
          <w:szCs w:val="24"/>
        </w:rPr>
        <w:t xml:space="preserve"> further development of IBF and Prime Minister YAB Dato’ Sri Mohd Najib Bin Tun Abdul Razak highlighted the benefits of the country’s Islamic finance sector to the global financial community by touting Malaysia as the World’s Islamic Finance Market</w:t>
      </w:r>
      <w:r w:rsidR="005842C9" w:rsidRPr="000D1D1D">
        <w:rPr>
          <w:rFonts w:ascii="Times New Roman" w:hAnsi="Times New Roman" w:cs="Times New Roman"/>
          <w:sz w:val="24"/>
          <w:szCs w:val="24"/>
        </w:rPr>
        <w:t xml:space="preserve"> </w:t>
      </w:r>
      <w:r w:rsidRPr="000D1D1D">
        <w:rPr>
          <w:rFonts w:ascii="Times New Roman" w:hAnsi="Times New Roman" w:cs="Times New Roman"/>
          <w:sz w:val="24"/>
          <w:szCs w:val="24"/>
        </w:rPr>
        <w:t xml:space="preserve">place and </w:t>
      </w:r>
      <w:r w:rsidR="005842C9" w:rsidRPr="000D1D1D">
        <w:rPr>
          <w:rFonts w:ascii="Times New Roman" w:hAnsi="Times New Roman" w:cs="Times New Roman"/>
          <w:sz w:val="24"/>
          <w:szCs w:val="24"/>
        </w:rPr>
        <w:t xml:space="preserve">Malaysia has also show intention </w:t>
      </w:r>
      <w:r w:rsidRPr="000D1D1D">
        <w:rPr>
          <w:rFonts w:ascii="Times New Roman" w:hAnsi="Times New Roman" w:cs="Times New Roman"/>
          <w:sz w:val="24"/>
          <w:szCs w:val="24"/>
        </w:rPr>
        <w:t xml:space="preserve">to introduced Maqasid Al- Shariah Index which will take place </w:t>
      </w:r>
      <w:r w:rsidR="005842C9" w:rsidRPr="000D1D1D">
        <w:rPr>
          <w:rFonts w:ascii="Times New Roman" w:hAnsi="Times New Roman" w:cs="Times New Roman"/>
          <w:sz w:val="24"/>
          <w:szCs w:val="24"/>
        </w:rPr>
        <w:t xml:space="preserve">very </w:t>
      </w:r>
      <w:r w:rsidRPr="000D1D1D">
        <w:rPr>
          <w:rFonts w:ascii="Times New Roman" w:hAnsi="Times New Roman" w:cs="Times New Roman"/>
          <w:sz w:val="24"/>
          <w:szCs w:val="24"/>
        </w:rPr>
        <w:t xml:space="preserve">soon. </w:t>
      </w:r>
    </w:p>
    <w:p w:rsidR="005842C9" w:rsidRPr="000D1D1D" w:rsidRDefault="005842C9" w:rsidP="00B333C2">
      <w:pPr>
        <w:autoSpaceDE w:val="0"/>
        <w:autoSpaceDN w:val="0"/>
        <w:adjustRightInd w:val="0"/>
        <w:spacing w:after="0"/>
        <w:jc w:val="both"/>
        <w:rPr>
          <w:rFonts w:ascii="Times New Roman" w:hAnsi="Times New Roman" w:cs="Times New Roman"/>
          <w:sz w:val="24"/>
          <w:szCs w:val="24"/>
        </w:rPr>
      </w:pPr>
    </w:p>
    <w:p w:rsidR="00B333C2" w:rsidRPr="000D1D1D" w:rsidRDefault="00B333C2" w:rsidP="00D15C91">
      <w:pPr>
        <w:autoSpaceDE w:val="0"/>
        <w:autoSpaceDN w:val="0"/>
        <w:adjustRightInd w:val="0"/>
        <w:spacing w:after="0"/>
        <w:ind w:firstLine="720"/>
        <w:jc w:val="both"/>
        <w:rPr>
          <w:rFonts w:ascii="Times New Roman" w:hAnsi="Times New Roman" w:cs="Times New Roman"/>
          <w:color w:val="FF0000"/>
          <w:sz w:val="24"/>
          <w:szCs w:val="24"/>
        </w:rPr>
      </w:pPr>
      <w:r w:rsidRPr="000D1D1D">
        <w:rPr>
          <w:rFonts w:ascii="Times New Roman" w:hAnsi="Times New Roman" w:cs="Times New Roman"/>
          <w:sz w:val="24"/>
          <w:szCs w:val="24"/>
        </w:rPr>
        <w:t>Therefore, it is very clear that the Islamic banking has been the lynchpin and key factor for Malaysia’s successful transformation especially in the banking industry. These are all creditable and praise-worthy efforts but the Government must be wary that many issues which presently exist that obstruct the development of IBF in Malaysia need to be quickly addressed and dealt with so that there would be greater contribution by Islamic banking towards Malaysian economic growth. Such issue would include the global regulatory reforms in terms of capital and liquidity, product innovation, macro prudential measures, war for talents and global market condition</w:t>
      </w:r>
      <w:r w:rsidRPr="000D1D1D">
        <w:rPr>
          <w:rFonts w:ascii="Times New Roman" w:hAnsi="Times New Roman" w:cs="Times New Roman"/>
          <w:color w:val="FF0000"/>
          <w:sz w:val="24"/>
          <w:szCs w:val="24"/>
        </w:rPr>
        <w:t xml:space="preserve">. </w:t>
      </w:r>
    </w:p>
    <w:p w:rsidR="00767FC5" w:rsidRPr="000D1D1D" w:rsidRDefault="00767FC5" w:rsidP="00B333C2">
      <w:pPr>
        <w:autoSpaceDE w:val="0"/>
        <w:autoSpaceDN w:val="0"/>
        <w:adjustRightInd w:val="0"/>
        <w:spacing w:after="0"/>
        <w:jc w:val="both"/>
        <w:rPr>
          <w:rFonts w:ascii="Times New Roman" w:hAnsi="Times New Roman" w:cs="Times New Roman"/>
          <w:color w:val="FF0000"/>
          <w:sz w:val="24"/>
          <w:szCs w:val="24"/>
        </w:rPr>
      </w:pPr>
    </w:p>
    <w:p w:rsidR="00767FC5" w:rsidRPr="000D1D1D" w:rsidRDefault="00767FC5" w:rsidP="00D15C91">
      <w:pPr>
        <w:autoSpaceDE w:val="0"/>
        <w:autoSpaceDN w:val="0"/>
        <w:adjustRightInd w:val="0"/>
        <w:spacing w:after="0"/>
        <w:ind w:firstLine="720"/>
        <w:jc w:val="both"/>
        <w:rPr>
          <w:rFonts w:ascii="Times New Roman" w:hAnsi="Times New Roman" w:cs="Times New Roman"/>
          <w:sz w:val="24"/>
          <w:szCs w:val="24"/>
        </w:rPr>
      </w:pPr>
      <w:r w:rsidRPr="000D1D1D">
        <w:rPr>
          <w:rFonts w:ascii="Times New Roman" w:hAnsi="Times New Roman" w:cs="Times New Roman"/>
          <w:sz w:val="24"/>
          <w:szCs w:val="24"/>
        </w:rPr>
        <w:t>However, there are a few limitations in this study where the numbers of variables are questionable. This is because there would more key performance indicator</w:t>
      </w:r>
      <w:r w:rsidR="00D15C91" w:rsidRPr="000D1D1D">
        <w:rPr>
          <w:rFonts w:ascii="Times New Roman" w:hAnsi="Times New Roman" w:cs="Times New Roman"/>
          <w:sz w:val="24"/>
          <w:szCs w:val="24"/>
        </w:rPr>
        <w:t>s</w:t>
      </w:r>
      <w:r w:rsidRPr="000D1D1D">
        <w:rPr>
          <w:rFonts w:ascii="Times New Roman" w:hAnsi="Times New Roman" w:cs="Times New Roman"/>
          <w:sz w:val="24"/>
          <w:szCs w:val="24"/>
        </w:rPr>
        <w:t xml:space="preserve"> for Islamic that may have significant impact that can be used in this study to obtain comprehensive results. In addition, the numbers of years covered in this study were less due to the limited data provided by Bank Negara Statistical reports. </w:t>
      </w:r>
    </w:p>
    <w:p w:rsidR="00767FC5" w:rsidRPr="000D1D1D" w:rsidRDefault="00767FC5" w:rsidP="00B333C2">
      <w:pPr>
        <w:autoSpaceDE w:val="0"/>
        <w:autoSpaceDN w:val="0"/>
        <w:adjustRightInd w:val="0"/>
        <w:spacing w:after="0"/>
        <w:jc w:val="both"/>
        <w:rPr>
          <w:rFonts w:ascii="Times New Roman" w:hAnsi="Times New Roman" w:cs="Times New Roman"/>
          <w:sz w:val="24"/>
          <w:szCs w:val="24"/>
        </w:rPr>
      </w:pPr>
    </w:p>
    <w:p w:rsidR="00B333C2" w:rsidRPr="000D1D1D" w:rsidRDefault="00CC5496" w:rsidP="00D15C91">
      <w:pPr>
        <w:autoSpaceDE w:val="0"/>
        <w:autoSpaceDN w:val="0"/>
        <w:adjustRightInd w:val="0"/>
        <w:spacing w:after="0"/>
        <w:ind w:firstLine="720"/>
        <w:jc w:val="both"/>
        <w:rPr>
          <w:rFonts w:ascii="Times New Roman" w:hAnsi="Times New Roman" w:cs="Times New Roman"/>
          <w:sz w:val="24"/>
          <w:szCs w:val="24"/>
        </w:rPr>
      </w:pPr>
      <w:r w:rsidRPr="000D1D1D">
        <w:rPr>
          <w:rFonts w:ascii="Times New Roman" w:hAnsi="Times New Roman" w:cs="Times New Roman"/>
          <w:sz w:val="24"/>
          <w:szCs w:val="24"/>
        </w:rPr>
        <w:t>Worth to mention, future researches</w:t>
      </w:r>
      <w:r w:rsidR="00B333C2" w:rsidRPr="000D1D1D">
        <w:rPr>
          <w:rFonts w:ascii="Times New Roman" w:hAnsi="Times New Roman" w:cs="Times New Roman"/>
          <w:sz w:val="24"/>
          <w:szCs w:val="24"/>
        </w:rPr>
        <w:t xml:space="preserve"> nevertheless still required in this broad area of IBF in Malaysia whereby other relevant variables and more sophisticated statistical measures are applied. Apart from that, future research must concentrate on </w:t>
      </w:r>
      <w:r w:rsidR="005842C9" w:rsidRPr="000D1D1D">
        <w:rPr>
          <w:rFonts w:ascii="Times New Roman" w:hAnsi="Times New Roman" w:cs="Times New Roman"/>
          <w:sz w:val="24"/>
          <w:szCs w:val="24"/>
        </w:rPr>
        <w:t>comparable</w:t>
      </w:r>
      <w:r w:rsidR="00B333C2" w:rsidRPr="000D1D1D">
        <w:rPr>
          <w:rFonts w:ascii="Times New Roman" w:hAnsi="Times New Roman" w:cs="Times New Roman"/>
          <w:sz w:val="24"/>
          <w:szCs w:val="24"/>
        </w:rPr>
        <w:t xml:space="preserve"> study among other countries to obtain a significant picture on how does Islamic bank </w:t>
      </w:r>
      <w:r w:rsidR="005842C9" w:rsidRPr="000D1D1D">
        <w:rPr>
          <w:rFonts w:ascii="Times New Roman" w:hAnsi="Times New Roman" w:cs="Times New Roman"/>
          <w:sz w:val="24"/>
          <w:szCs w:val="24"/>
        </w:rPr>
        <w:t>would contribute to the economic growth.</w:t>
      </w:r>
      <w:r w:rsidR="00767FC5" w:rsidRPr="000D1D1D">
        <w:rPr>
          <w:rFonts w:ascii="Times New Roman" w:hAnsi="Times New Roman" w:cs="Times New Roman"/>
          <w:sz w:val="24"/>
          <w:szCs w:val="24"/>
        </w:rPr>
        <w:t xml:space="preserve"> </w:t>
      </w:r>
      <w:r w:rsidR="00A15DEC" w:rsidRPr="000D1D1D">
        <w:rPr>
          <w:rFonts w:ascii="Times New Roman" w:hAnsi="Times New Roman" w:cs="Times New Roman"/>
          <w:sz w:val="24"/>
          <w:szCs w:val="24"/>
        </w:rPr>
        <w:t>Moreover</w:t>
      </w:r>
      <w:r w:rsidR="00767FC5" w:rsidRPr="000D1D1D">
        <w:rPr>
          <w:rFonts w:ascii="Times New Roman" w:hAnsi="Times New Roman" w:cs="Times New Roman"/>
          <w:sz w:val="24"/>
          <w:szCs w:val="24"/>
        </w:rPr>
        <w:t>, future research should concentrate on pre and post</w:t>
      </w:r>
      <w:r w:rsidR="00A15DEC" w:rsidRPr="000D1D1D">
        <w:rPr>
          <w:rFonts w:ascii="Times New Roman" w:hAnsi="Times New Roman" w:cs="Times New Roman"/>
          <w:sz w:val="24"/>
          <w:szCs w:val="24"/>
        </w:rPr>
        <w:t xml:space="preserve"> crisis</w:t>
      </w:r>
      <w:r w:rsidR="00767FC5" w:rsidRPr="000D1D1D">
        <w:rPr>
          <w:rFonts w:ascii="Times New Roman" w:hAnsi="Times New Roman" w:cs="Times New Roman"/>
          <w:sz w:val="24"/>
          <w:szCs w:val="24"/>
        </w:rPr>
        <w:t xml:space="preserve"> </w:t>
      </w:r>
      <w:r w:rsidR="00A15DEC" w:rsidRPr="000D1D1D">
        <w:rPr>
          <w:rFonts w:ascii="Times New Roman" w:hAnsi="Times New Roman" w:cs="Times New Roman"/>
          <w:sz w:val="24"/>
          <w:szCs w:val="24"/>
        </w:rPr>
        <w:t xml:space="preserve">analysis in regards Islamic banking and economic growth. </w:t>
      </w:r>
    </w:p>
    <w:p w:rsidR="0009667F" w:rsidRDefault="0009667F" w:rsidP="004160A0">
      <w:pPr>
        <w:rPr>
          <w:rFonts w:ascii="Times New Roman" w:hAnsi="Times New Roman" w:cs="Times New Roman"/>
          <w:sz w:val="20"/>
          <w:szCs w:val="20"/>
        </w:rPr>
      </w:pPr>
    </w:p>
    <w:p w:rsidR="00CF53E1" w:rsidRPr="000D1D1D" w:rsidRDefault="00CF53E1" w:rsidP="004160A0">
      <w:pPr>
        <w:rPr>
          <w:rFonts w:ascii="Times New Roman" w:hAnsi="Times New Roman" w:cs="Times New Roman"/>
          <w:b/>
          <w:sz w:val="24"/>
          <w:szCs w:val="24"/>
        </w:rPr>
      </w:pPr>
      <w:r w:rsidRPr="000D1D1D">
        <w:rPr>
          <w:rFonts w:ascii="Times New Roman" w:hAnsi="Times New Roman" w:cs="Times New Roman"/>
          <w:b/>
          <w:sz w:val="24"/>
          <w:szCs w:val="24"/>
        </w:rPr>
        <w:t>References</w:t>
      </w:r>
    </w:p>
    <w:sdt>
      <w:sdtPr>
        <w:rPr>
          <w:rFonts w:ascii="Times New Roman" w:hAnsi="Times New Roman" w:cs="Times New Roman"/>
          <w:sz w:val="24"/>
          <w:szCs w:val="24"/>
          <w:lang w:val="en-MY"/>
        </w:rPr>
        <w:id w:val="111145805"/>
        <w:bibliography/>
      </w:sdtPr>
      <w:sdtEndPr/>
      <w:sdtContent>
        <w:p w:rsidR="00CF53E1" w:rsidRPr="000D1D1D" w:rsidRDefault="000A72BF"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sz w:val="24"/>
              <w:szCs w:val="24"/>
            </w:rPr>
            <w:fldChar w:fldCharType="begin"/>
          </w:r>
          <w:r w:rsidR="00CF53E1" w:rsidRPr="000D1D1D">
            <w:rPr>
              <w:rFonts w:ascii="Times New Roman" w:hAnsi="Times New Roman" w:cs="Times New Roman"/>
              <w:sz w:val="24"/>
              <w:szCs w:val="24"/>
            </w:rPr>
            <w:instrText xml:space="preserve"> BIBLIOGRAPHY </w:instrText>
          </w:r>
          <w:r w:rsidRPr="000D1D1D">
            <w:rPr>
              <w:rFonts w:ascii="Times New Roman" w:hAnsi="Times New Roman" w:cs="Times New Roman"/>
              <w:sz w:val="24"/>
              <w:szCs w:val="24"/>
            </w:rPr>
            <w:fldChar w:fldCharType="separate"/>
          </w:r>
          <w:r w:rsidR="00CF53E1" w:rsidRPr="000D1D1D">
            <w:rPr>
              <w:rFonts w:ascii="Times New Roman" w:hAnsi="Times New Roman" w:cs="Times New Roman"/>
              <w:noProof/>
              <w:sz w:val="24"/>
              <w:szCs w:val="24"/>
            </w:rPr>
            <w:t xml:space="preserve">Abduh, M., &amp; Chowdhury, N. T. (2012). Does Islamic Banking Matter for Economic Growth in Bangladesh? </w:t>
          </w:r>
          <w:r w:rsidR="00CF53E1" w:rsidRPr="000D1D1D">
            <w:rPr>
              <w:rFonts w:ascii="Times New Roman" w:hAnsi="Times New Roman" w:cs="Times New Roman"/>
              <w:i/>
              <w:iCs/>
              <w:noProof/>
              <w:sz w:val="24"/>
              <w:szCs w:val="24"/>
            </w:rPr>
            <w:t>Journal of Islamic Economics, Banking and Finance, 8 (3)</w:t>
          </w:r>
          <w:r w:rsidR="00CF53E1" w:rsidRPr="000D1D1D">
            <w:rPr>
              <w:rFonts w:ascii="Times New Roman" w:hAnsi="Times New Roman" w:cs="Times New Roman"/>
              <w:noProof/>
              <w:sz w:val="24"/>
              <w:szCs w:val="24"/>
            </w:rPr>
            <w:t>, 104-113.</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Abduh, M., &amp; Omar, M. A. (2012). Islamic banking and economic growth: the Indonesian experience. </w:t>
          </w:r>
          <w:r w:rsidRPr="000D1D1D">
            <w:rPr>
              <w:rFonts w:ascii="Times New Roman" w:hAnsi="Times New Roman" w:cs="Times New Roman"/>
              <w:i/>
              <w:iCs/>
              <w:noProof/>
              <w:sz w:val="24"/>
              <w:szCs w:val="24"/>
            </w:rPr>
            <w:t>International Journal of Islamic and Middle Eastern Finance and Management, 5(1)</w:t>
          </w:r>
          <w:r w:rsidRPr="000D1D1D">
            <w:rPr>
              <w:rFonts w:ascii="Times New Roman" w:hAnsi="Times New Roman" w:cs="Times New Roman"/>
              <w:noProof/>
              <w:sz w:val="24"/>
              <w:szCs w:val="24"/>
            </w:rPr>
            <w:t>, 35-47.</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lastRenderedPageBreak/>
            <w:t xml:space="preserve">Al-Oqool, M. A., Okab, R., &amp; Bashayreh, M. (2014). Financial Islamic Banking Development and Economic Growth: A Case Study of Jordan. </w:t>
          </w:r>
          <w:r w:rsidRPr="000D1D1D">
            <w:rPr>
              <w:rFonts w:ascii="Times New Roman" w:hAnsi="Times New Roman" w:cs="Times New Roman"/>
              <w:i/>
              <w:iCs/>
              <w:noProof/>
              <w:sz w:val="24"/>
              <w:szCs w:val="24"/>
            </w:rPr>
            <w:t>International Journal of Economics and Finance; Vol. 6, No. 3</w:t>
          </w:r>
          <w:r w:rsidRPr="000D1D1D">
            <w:rPr>
              <w:rFonts w:ascii="Times New Roman" w:hAnsi="Times New Roman" w:cs="Times New Roman"/>
              <w:noProof/>
              <w:sz w:val="24"/>
              <w:szCs w:val="24"/>
            </w:rPr>
            <w:t>, 72-79.</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Asmy, M., W. Rohilina, A. Hassama, &amp; M. Fouad. (2010). Effect of Macroeconomic variables on stock price in Malaysia: An approach of error correction model. </w:t>
          </w:r>
          <w:r w:rsidRPr="000D1D1D">
            <w:rPr>
              <w:rFonts w:ascii="Times New Roman" w:hAnsi="Times New Roman" w:cs="Times New Roman"/>
              <w:i/>
              <w:iCs/>
              <w:sz w:val="24"/>
              <w:szCs w:val="24"/>
            </w:rPr>
            <w:t xml:space="preserve">The Global Journal of Finance and Economics, </w:t>
          </w:r>
          <w:r w:rsidRPr="000D1D1D">
            <w:rPr>
              <w:rFonts w:ascii="Times New Roman" w:hAnsi="Times New Roman" w:cs="Times New Roman"/>
              <w:sz w:val="24"/>
              <w:szCs w:val="24"/>
            </w:rPr>
            <w:t>7(2), 149-164.</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Bacha, O. I. (2004). Dual Banking Systems and Interest Rate Risk for Islamic Banks. </w:t>
          </w:r>
          <w:r w:rsidRPr="000D1D1D">
            <w:rPr>
              <w:rFonts w:ascii="Times New Roman" w:hAnsi="Times New Roman" w:cs="Times New Roman"/>
              <w:i/>
              <w:iCs/>
              <w:noProof/>
              <w:sz w:val="24"/>
              <w:szCs w:val="24"/>
            </w:rPr>
            <w:t>MPRA Paper 12763, University Library of Munich, Germany, revised Mar 2004</w:t>
          </w:r>
          <w:r w:rsidRPr="000D1D1D">
            <w:rPr>
              <w:rFonts w:ascii="Times New Roman" w:hAnsi="Times New Roman" w:cs="Times New Roman"/>
              <w:noProof/>
              <w:sz w:val="24"/>
              <w:szCs w:val="24"/>
            </w:rPr>
            <w:t>.</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BIMB Financial Report, (2012).</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Demirguc, K., Feyen, A., &amp; Levine, E. R. (2012). The Evolving Importance of Banks and Securities Markets. </w:t>
          </w:r>
          <w:r w:rsidRPr="000D1D1D">
            <w:rPr>
              <w:rFonts w:ascii="Times New Roman" w:hAnsi="Times New Roman" w:cs="Times New Roman"/>
              <w:i/>
              <w:iCs/>
              <w:noProof/>
              <w:sz w:val="24"/>
              <w:szCs w:val="24"/>
            </w:rPr>
            <w:t>National Bureau of Economic Research Working Paper No. 18004</w:t>
          </w:r>
          <w:r w:rsidRPr="000D1D1D">
            <w:rPr>
              <w:rFonts w:ascii="Times New Roman" w:hAnsi="Times New Roman" w:cs="Times New Roman"/>
              <w:noProof/>
              <w:sz w:val="24"/>
              <w:szCs w:val="24"/>
            </w:rPr>
            <w:t>.</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Furqani, H., &amp; Mulyany, R. (2009). Islamic Banking and Economic Growth: Empirical Evidence from Malaysia. </w:t>
          </w:r>
          <w:r w:rsidRPr="000D1D1D">
            <w:rPr>
              <w:rFonts w:ascii="Times New Roman" w:hAnsi="Times New Roman" w:cs="Times New Roman"/>
              <w:i/>
              <w:iCs/>
              <w:noProof/>
              <w:sz w:val="24"/>
              <w:szCs w:val="24"/>
            </w:rPr>
            <w:t>Journal of Economics Cooperation and Development</w:t>
          </w:r>
          <w:r w:rsidRPr="000D1D1D">
            <w:rPr>
              <w:rFonts w:ascii="Times New Roman" w:hAnsi="Times New Roman" w:cs="Times New Roman"/>
              <w:noProof/>
              <w:sz w:val="24"/>
              <w:szCs w:val="24"/>
            </w:rPr>
            <w:t>, 59-74.</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Gheeraert, L. (2014). Does Islamic finance spur banking sector development? </w:t>
          </w:r>
          <w:r w:rsidRPr="000D1D1D">
            <w:rPr>
              <w:rFonts w:ascii="Times New Roman" w:hAnsi="Times New Roman" w:cs="Times New Roman"/>
              <w:i/>
              <w:iCs/>
              <w:noProof/>
              <w:sz w:val="24"/>
              <w:szCs w:val="24"/>
            </w:rPr>
            <w:t>Journal of Economic Behavior &amp; Organization</w:t>
          </w:r>
          <w:r w:rsidRPr="000D1D1D">
            <w:rPr>
              <w:rFonts w:ascii="Times New Roman" w:hAnsi="Times New Roman" w:cs="Times New Roman"/>
              <w:noProof/>
              <w:sz w:val="24"/>
              <w:szCs w:val="24"/>
            </w:rPr>
            <w:t>, 1-17.</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Gujarati, D. N. (2009). </w:t>
          </w:r>
          <w:r w:rsidRPr="000D1D1D">
            <w:rPr>
              <w:rFonts w:ascii="Times New Roman" w:hAnsi="Times New Roman" w:cs="Times New Roman"/>
              <w:i/>
              <w:iCs/>
              <w:sz w:val="24"/>
              <w:szCs w:val="24"/>
            </w:rPr>
            <w:t>Basic Econometrics</w:t>
          </w:r>
          <w:r w:rsidRPr="000D1D1D">
            <w:rPr>
              <w:rFonts w:ascii="Times New Roman" w:hAnsi="Times New Roman" w:cs="Times New Roman"/>
              <w:sz w:val="24"/>
              <w:szCs w:val="24"/>
            </w:rPr>
            <w:t>. New York: McGraw Hill.</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Hassan, M. K., &amp; Bashir, A.-H. M. (2003). Determinants of Islamic Banking Profitability. </w:t>
          </w:r>
          <w:r w:rsidRPr="000D1D1D">
            <w:rPr>
              <w:rFonts w:ascii="Times New Roman" w:hAnsi="Times New Roman" w:cs="Times New Roman"/>
              <w:i/>
              <w:iCs/>
              <w:noProof/>
              <w:sz w:val="24"/>
              <w:szCs w:val="24"/>
            </w:rPr>
            <w:t>10th ERF Annual Conference, Morocco</w:t>
          </w:r>
          <w:r w:rsidRPr="000D1D1D">
            <w:rPr>
              <w:rFonts w:ascii="Times New Roman" w:hAnsi="Times New Roman" w:cs="Times New Roman"/>
              <w:noProof/>
              <w:sz w:val="24"/>
              <w:szCs w:val="24"/>
            </w:rPr>
            <w:t>, 16-18.</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Hassan, M. K., Sanchez, B., &amp; Yu, J.-S. (2011). Financial Development and Economic Growth in the Organization of Islamic Conference Countries. </w:t>
          </w:r>
          <w:r w:rsidRPr="000D1D1D">
            <w:rPr>
              <w:rFonts w:ascii="Times New Roman" w:hAnsi="Times New Roman" w:cs="Times New Roman"/>
              <w:i/>
              <w:iCs/>
              <w:noProof/>
              <w:sz w:val="24"/>
              <w:szCs w:val="24"/>
            </w:rPr>
            <w:t>Journal of King Abdulaziz University: Islamic Economics, Vol. 24 No. 1</w:t>
          </w:r>
          <w:r w:rsidRPr="000D1D1D">
            <w:rPr>
              <w:rFonts w:ascii="Times New Roman" w:hAnsi="Times New Roman" w:cs="Times New Roman"/>
              <w:noProof/>
              <w:sz w:val="24"/>
              <w:szCs w:val="24"/>
            </w:rPr>
            <w:t>, 145-172.</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Hassanudin, M.T.T., Tan.S.E. and </w:t>
          </w:r>
          <w:proofErr w:type="gramStart"/>
          <w:r w:rsidRPr="000D1D1D">
            <w:rPr>
              <w:rFonts w:ascii="Times New Roman" w:hAnsi="Times New Roman" w:cs="Times New Roman"/>
              <w:sz w:val="24"/>
              <w:szCs w:val="24"/>
            </w:rPr>
            <w:t>Sushant,V.</w:t>
          </w:r>
          <w:proofErr w:type="gramEnd"/>
          <w:r w:rsidRPr="000D1D1D">
            <w:rPr>
              <w:rFonts w:ascii="Times New Roman" w:hAnsi="Times New Roman" w:cs="Times New Roman"/>
              <w:sz w:val="24"/>
              <w:szCs w:val="24"/>
            </w:rPr>
            <w:t xml:space="preserve"> (2013). Export Led Growth Hypothesis: Econometric Evidence from Malaysia. </w:t>
          </w:r>
          <w:r w:rsidRPr="000D1D1D">
            <w:rPr>
              <w:rFonts w:ascii="Times New Roman" w:hAnsi="Times New Roman" w:cs="Times New Roman"/>
              <w:i/>
              <w:sz w:val="24"/>
              <w:szCs w:val="24"/>
            </w:rPr>
            <w:t>Journal of International Business and Economy</w:t>
          </w:r>
          <w:r w:rsidRPr="000D1D1D">
            <w:rPr>
              <w:rFonts w:ascii="Times New Roman" w:hAnsi="Times New Roman" w:cs="Times New Roman"/>
              <w:sz w:val="24"/>
              <w:szCs w:val="24"/>
            </w:rPr>
            <w:t xml:space="preserve">, 14 (2), 95-112. </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Hermes, N., &amp; Lensink, R. (2003). Foreign Direct Investment, Financial Development and Economic Growth. </w:t>
          </w:r>
          <w:r w:rsidRPr="000D1D1D">
            <w:rPr>
              <w:rFonts w:ascii="Times New Roman" w:hAnsi="Times New Roman" w:cs="Times New Roman"/>
              <w:i/>
              <w:iCs/>
              <w:noProof/>
              <w:sz w:val="24"/>
              <w:szCs w:val="24"/>
            </w:rPr>
            <w:t>The Journal of Development Studies</w:t>
          </w:r>
          <w:r w:rsidRPr="000D1D1D">
            <w:rPr>
              <w:rFonts w:ascii="Times New Roman" w:hAnsi="Times New Roman" w:cs="Times New Roman"/>
              <w:noProof/>
              <w:sz w:val="24"/>
              <w:szCs w:val="24"/>
            </w:rPr>
            <w:t>, 142-163.</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Iqbal, Z. (1997). Islamic Financial Systems, Finance and Development. 42-45.</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Johansen, S. (1988). Statistical Analysis of Cointegration Vectors. </w:t>
          </w:r>
          <w:r w:rsidRPr="000D1D1D">
            <w:rPr>
              <w:rFonts w:ascii="Times New Roman" w:hAnsi="Times New Roman" w:cs="Times New Roman"/>
              <w:i/>
              <w:sz w:val="24"/>
              <w:szCs w:val="24"/>
            </w:rPr>
            <w:t>Journal of Economic Dynamics and Control</w:t>
          </w:r>
          <w:r w:rsidRPr="000D1D1D">
            <w:rPr>
              <w:rFonts w:ascii="Times New Roman" w:hAnsi="Times New Roman" w:cs="Times New Roman"/>
              <w:sz w:val="24"/>
              <w:szCs w:val="24"/>
            </w:rPr>
            <w:t xml:space="preserve">, 12 (3), 231–254. </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proofErr w:type="gramStart"/>
          <w:r w:rsidRPr="000D1D1D">
            <w:rPr>
              <w:rFonts w:ascii="Times New Roman" w:hAnsi="Times New Roman" w:cs="Times New Roman"/>
              <w:sz w:val="24"/>
              <w:szCs w:val="24"/>
            </w:rPr>
            <w:t>Johansen,S.</w:t>
          </w:r>
          <w:proofErr w:type="gramEnd"/>
          <w:r w:rsidRPr="000D1D1D">
            <w:rPr>
              <w:rFonts w:ascii="Times New Roman" w:hAnsi="Times New Roman" w:cs="Times New Roman"/>
              <w:sz w:val="24"/>
              <w:szCs w:val="24"/>
            </w:rPr>
            <w:t>, &amp; Juselius, K. (1990).Maximum Likelihood Estimation and Inference on Cointegration– with Applications to the Demand for Money. Oxford Bulletin of Economics and Statistics, 52(2), 169–210</w:t>
          </w:r>
          <w:r w:rsidRPr="000D1D1D">
            <w:rPr>
              <w:rFonts w:ascii="Times New Roman" w:hAnsi="Times New Roman" w:cs="Times New Roman"/>
              <w:b/>
              <w:sz w:val="24"/>
              <w:szCs w:val="24"/>
            </w:rPr>
            <w:t>.</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Johnson, K. (2013). The Role of Islamic Banking in Economic Growth. </w:t>
          </w:r>
          <w:r w:rsidRPr="000D1D1D">
            <w:rPr>
              <w:rFonts w:ascii="Times New Roman" w:hAnsi="Times New Roman" w:cs="Times New Roman"/>
              <w:i/>
              <w:iCs/>
              <w:noProof/>
              <w:sz w:val="24"/>
              <w:szCs w:val="24"/>
            </w:rPr>
            <w:t>CMC Senior Theses. Paper 642</w:t>
          </w:r>
          <w:r w:rsidRPr="000D1D1D">
            <w:rPr>
              <w:rFonts w:ascii="Times New Roman" w:hAnsi="Times New Roman" w:cs="Times New Roman"/>
              <w:noProof/>
              <w:sz w:val="24"/>
              <w:szCs w:val="24"/>
            </w:rPr>
            <w:t>.</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Majid, S. A., &amp; Kassim, S. (2010). Islamic finance and economic growth: The Malaysian experience. </w:t>
          </w:r>
          <w:r w:rsidRPr="000D1D1D">
            <w:rPr>
              <w:rFonts w:ascii="Times New Roman" w:hAnsi="Times New Roman" w:cs="Times New Roman"/>
              <w:i/>
              <w:iCs/>
              <w:noProof/>
              <w:sz w:val="24"/>
              <w:szCs w:val="24"/>
            </w:rPr>
            <w:t>Paper presented in Kuala Lumpur Islamic Finance Forum, Kuala Lumpur, 2-5 August 2010</w:t>
          </w:r>
          <w:r w:rsidRPr="000D1D1D">
            <w:rPr>
              <w:rFonts w:ascii="Times New Roman" w:hAnsi="Times New Roman" w:cs="Times New Roman"/>
              <w:noProof/>
              <w:sz w:val="24"/>
              <w:szCs w:val="24"/>
            </w:rPr>
            <w:t>.</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lastRenderedPageBreak/>
            <w:t xml:space="preserve">Manap, T. A., Abduh, M., &amp; Omar, M. A. (2012). Islamic Banking-Growth Nexus: Evidence from Toda-Yamamoto and Bootstrap Granger Causality Test. </w:t>
          </w:r>
          <w:r w:rsidRPr="000D1D1D">
            <w:rPr>
              <w:rFonts w:ascii="Times New Roman" w:hAnsi="Times New Roman" w:cs="Times New Roman"/>
              <w:i/>
              <w:iCs/>
              <w:noProof/>
              <w:sz w:val="24"/>
              <w:szCs w:val="24"/>
            </w:rPr>
            <w:t>Journal of Islamic Finance, Vol. 1 No. 1</w:t>
          </w:r>
          <w:r w:rsidRPr="000D1D1D">
            <w:rPr>
              <w:rFonts w:ascii="Times New Roman" w:hAnsi="Times New Roman" w:cs="Times New Roman"/>
              <w:noProof/>
              <w:sz w:val="24"/>
              <w:szCs w:val="24"/>
            </w:rPr>
            <w:t>, 59-66.</w:t>
          </w:r>
        </w:p>
        <w:p w:rsidR="00842BCC" w:rsidRPr="000D1D1D" w:rsidRDefault="00842BCC" w:rsidP="00842BCC">
          <w:pPr>
            <w:rPr>
              <w:sz w:val="24"/>
              <w:szCs w:val="24"/>
              <w:lang w:val="en-GB"/>
            </w:rPr>
          </w:pP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Maximilian J.B. Hall, H. A., &amp; Muljawan, D. (2000). A Capital Adequacy Framework for Islamic Banks : The Need to Reconcile Depositors’ Risk Aversion with Managers’ Risk Taking. </w:t>
          </w:r>
          <w:r w:rsidRPr="000D1D1D">
            <w:rPr>
              <w:rFonts w:ascii="Times New Roman" w:hAnsi="Times New Roman" w:cs="Times New Roman"/>
              <w:i/>
              <w:iCs/>
              <w:noProof/>
              <w:sz w:val="24"/>
              <w:szCs w:val="24"/>
            </w:rPr>
            <w:t>Proceedings of the Fifth Harvard University Forum on Islamic Finance: Islamic Finance: Dynamics and Development</w:t>
          </w:r>
          <w:r w:rsidRPr="000D1D1D">
            <w:rPr>
              <w:rFonts w:ascii="Times New Roman" w:hAnsi="Times New Roman" w:cs="Times New Roman"/>
              <w:noProof/>
              <w:sz w:val="24"/>
              <w:szCs w:val="24"/>
            </w:rPr>
            <w:t>, 21-42.</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Murumba, K. (2012). Performance Measures </w:t>
          </w:r>
          <w:proofErr w:type="gramStart"/>
          <w:r w:rsidRPr="000D1D1D">
            <w:rPr>
              <w:rFonts w:ascii="Times New Roman" w:hAnsi="Times New Roman" w:cs="Times New Roman"/>
              <w:sz w:val="24"/>
              <w:szCs w:val="24"/>
            </w:rPr>
            <w:t>For</w:t>
          </w:r>
          <w:proofErr w:type="gramEnd"/>
          <w:r w:rsidRPr="000D1D1D">
            <w:rPr>
              <w:rFonts w:ascii="Times New Roman" w:hAnsi="Times New Roman" w:cs="Times New Roman"/>
              <w:sz w:val="24"/>
              <w:szCs w:val="24"/>
            </w:rPr>
            <w:t xml:space="preserve"> Mutual Funds Performance. An Empirical Review: </w:t>
          </w:r>
          <w:r w:rsidRPr="000D1D1D">
            <w:rPr>
              <w:rFonts w:ascii="Times New Roman" w:hAnsi="Times New Roman" w:cs="Times New Roman"/>
              <w:i/>
              <w:sz w:val="24"/>
              <w:szCs w:val="24"/>
            </w:rPr>
            <w:t>SE Annual report</w:t>
          </w:r>
          <w:r w:rsidRPr="000D1D1D">
            <w:rPr>
              <w:rFonts w:ascii="Times New Roman" w:hAnsi="Times New Roman" w:cs="Times New Roman"/>
              <w:sz w:val="24"/>
              <w:szCs w:val="24"/>
            </w:rPr>
            <w:t>.</w:t>
          </w:r>
        </w:p>
        <w:p w:rsidR="004A1CEE" w:rsidRPr="000D1D1D" w:rsidRDefault="004A1CEE"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MIFC Report, (2013).</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Paramaiah, C. and O. M. Akway. (2008). </w:t>
          </w:r>
          <w:r w:rsidRPr="000D1D1D">
            <w:rPr>
              <w:rFonts w:ascii="Times New Roman" w:hAnsi="Times New Roman" w:cs="Times New Roman"/>
              <w:i/>
              <w:iCs/>
              <w:sz w:val="24"/>
              <w:szCs w:val="24"/>
            </w:rPr>
            <w:t>Econometric analysis of personal consumption expenditure in Ethiopia</w:t>
          </w:r>
          <w:r w:rsidRPr="000D1D1D">
            <w:rPr>
              <w:rFonts w:ascii="Times New Roman" w:hAnsi="Times New Roman" w:cs="Times New Roman"/>
              <w:sz w:val="24"/>
              <w:szCs w:val="24"/>
            </w:rPr>
            <w:t>. Andhra Pradesh. India: The ICFAI University Press.</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Rahim, S. R., &amp; Zakaria, R. H. (2013). Comparison on Stability Between Islamic and commercial banks in Malaysia. </w:t>
          </w:r>
          <w:r w:rsidRPr="000D1D1D">
            <w:rPr>
              <w:rFonts w:ascii="Times New Roman" w:hAnsi="Times New Roman" w:cs="Times New Roman"/>
              <w:i/>
              <w:color w:val="000000"/>
              <w:sz w:val="24"/>
              <w:szCs w:val="24"/>
            </w:rPr>
            <w:t>Journal of Islamic Economics, Banking and Finance</w:t>
          </w:r>
          <w:r w:rsidRPr="000D1D1D">
            <w:rPr>
              <w:rFonts w:ascii="Times New Roman" w:hAnsi="Times New Roman" w:cs="Times New Roman"/>
              <w:color w:val="000000"/>
              <w:sz w:val="24"/>
              <w:szCs w:val="24"/>
            </w:rPr>
            <w:t>. 9(3). 3-13.</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Rajabi, E., &amp; Muhammad, J. (2014). The Stock Markets, Banks and Growth Nexus: Asian Islamic Countries. </w:t>
          </w:r>
          <w:r w:rsidRPr="000D1D1D">
            <w:rPr>
              <w:rFonts w:ascii="Times New Roman" w:hAnsi="Times New Roman" w:cs="Times New Roman"/>
              <w:i/>
              <w:iCs/>
              <w:noProof/>
              <w:sz w:val="24"/>
              <w:szCs w:val="24"/>
            </w:rPr>
            <w:t>Economic Notes Vol. 43, No. 2-2014: Review of Banking, Finance and Monetary Economics</w:t>
          </w:r>
          <w:r w:rsidRPr="000D1D1D">
            <w:rPr>
              <w:rFonts w:ascii="Times New Roman" w:hAnsi="Times New Roman" w:cs="Times New Roman"/>
              <w:noProof/>
              <w:sz w:val="24"/>
              <w:szCs w:val="24"/>
            </w:rPr>
            <w:t>, 137-165.</w:t>
          </w:r>
        </w:p>
        <w:p w:rsidR="00CF53E1" w:rsidRPr="000D1D1D" w:rsidRDefault="00CF53E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 xml:space="preserve">Ryu, K.P., Piao, S.Z., &amp; Nami, D. (2012). A Comparative study between the Islamic and conventional banking systems and its implications. </w:t>
          </w:r>
          <w:r w:rsidRPr="000D1D1D">
            <w:rPr>
              <w:rFonts w:ascii="Times New Roman" w:hAnsi="Times New Roman" w:cs="Times New Roman"/>
              <w:i/>
              <w:sz w:val="24"/>
              <w:szCs w:val="24"/>
            </w:rPr>
            <w:t>Scholarly J. Bus. Admin</w:t>
          </w:r>
          <w:r w:rsidRPr="000D1D1D">
            <w:rPr>
              <w:rFonts w:ascii="Times New Roman" w:hAnsi="Times New Roman" w:cs="Times New Roman"/>
              <w:sz w:val="24"/>
              <w:szCs w:val="24"/>
            </w:rPr>
            <w:t>. 2(5), 48-54.</w:t>
          </w:r>
        </w:p>
        <w:p w:rsidR="00CF53E1" w:rsidRPr="000D1D1D" w:rsidRDefault="00CF53E1" w:rsidP="00CF53E1">
          <w:pPr>
            <w:pStyle w:val="Bibliography"/>
            <w:ind w:left="720" w:hanging="720"/>
            <w:jc w:val="both"/>
            <w:rPr>
              <w:rFonts w:ascii="Times New Roman" w:hAnsi="Times New Roman" w:cs="Times New Roman"/>
              <w:noProof/>
              <w:sz w:val="24"/>
              <w:szCs w:val="24"/>
            </w:rPr>
          </w:pPr>
          <w:r w:rsidRPr="000D1D1D">
            <w:rPr>
              <w:rFonts w:ascii="Times New Roman" w:hAnsi="Times New Roman" w:cs="Times New Roman"/>
              <w:noProof/>
              <w:sz w:val="24"/>
              <w:szCs w:val="24"/>
            </w:rPr>
            <w:t xml:space="preserve">Volker, N. (2006). Islamic Economic system – A Threat to Development? . </w:t>
          </w:r>
          <w:r w:rsidRPr="000D1D1D">
            <w:rPr>
              <w:rFonts w:ascii="Times New Roman" w:hAnsi="Times New Roman" w:cs="Times New Roman"/>
              <w:i/>
              <w:iCs/>
              <w:noProof/>
              <w:sz w:val="24"/>
              <w:szCs w:val="24"/>
            </w:rPr>
            <w:t>MPRA Paper No. 6449</w:t>
          </w:r>
          <w:r w:rsidRPr="000D1D1D">
            <w:rPr>
              <w:rFonts w:ascii="Times New Roman" w:hAnsi="Times New Roman" w:cs="Times New Roman"/>
              <w:noProof/>
              <w:sz w:val="24"/>
              <w:szCs w:val="24"/>
            </w:rPr>
            <w:t>.</w:t>
          </w:r>
        </w:p>
        <w:p w:rsidR="00CF53E1" w:rsidRPr="000D1D1D" w:rsidRDefault="009D423E" w:rsidP="00CF53E1">
          <w:pPr>
            <w:widowControl w:val="0"/>
            <w:autoSpaceDE w:val="0"/>
            <w:autoSpaceDN w:val="0"/>
            <w:adjustRightInd w:val="0"/>
            <w:spacing w:line="240" w:lineRule="auto"/>
            <w:ind w:left="500" w:hanging="500"/>
            <w:jc w:val="both"/>
            <w:rPr>
              <w:rFonts w:ascii="Times New Roman" w:hAnsi="Times New Roman" w:cs="Times New Roman"/>
              <w:sz w:val="24"/>
              <w:szCs w:val="24"/>
              <w:shd w:val="clear" w:color="auto" w:fill="FFFFFF"/>
            </w:rPr>
          </w:pPr>
          <w:hyperlink r:id="rId23" w:history="1">
            <w:r w:rsidR="00CF53E1" w:rsidRPr="000D1D1D">
              <w:rPr>
                <w:rStyle w:val="Hyperlink"/>
                <w:rFonts w:ascii="Times New Roman" w:hAnsi="Times New Roman" w:cs="Times New Roman"/>
                <w:color w:val="auto"/>
                <w:sz w:val="24"/>
                <w:szCs w:val="24"/>
                <w:u w:val="none"/>
                <w:shd w:val="clear" w:color="auto" w:fill="FFFFFF"/>
              </w:rPr>
              <w:t>Yusof.R,M.</w:t>
            </w:r>
            <w:r w:rsidR="00CF53E1" w:rsidRPr="000D1D1D">
              <w:rPr>
                <w:rStyle w:val="apple-converted-space"/>
                <w:rFonts w:ascii="Times New Roman" w:hAnsi="Times New Roman" w:cs="Times New Roman"/>
                <w:sz w:val="24"/>
                <w:szCs w:val="24"/>
                <w:shd w:val="clear" w:color="auto" w:fill="FFFFFF"/>
              </w:rPr>
              <w:t> </w:t>
            </w:r>
          </w:hyperlink>
          <w:r w:rsidR="00CF53E1" w:rsidRPr="000D1D1D">
            <w:rPr>
              <w:rStyle w:val="apple-converted-space"/>
              <w:rFonts w:ascii="Times New Roman" w:hAnsi="Times New Roman" w:cs="Times New Roman"/>
              <w:sz w:val="24"/>
              <w:szCs w:val="24"/>
              <w:shd w:val="clear" w:color="auto" w:fill="FFFFFF"/>
            </w:rPr>
            <w:t xml:space="preserve">&amp; </w:t>
          </w:r>
          <w:r w:rsidR="00CF53E1" w:rsidRPr="000D1D1D">
            <w:rPr>
              <w:rFonts w:ascii="Times New Roman" w:hAnsi="Times New Roman" w:cs="Times New Roman"/>
              <w:sz w:val="24"/>
              <w:szCs w:val="24"/>
            </w:rPr>
            <w:t>Bahlous. M.</w:t>
          </w:r>
          <w:r w:rsidR="00CF53E1" w:rsidRPr="000D1D1D">
            <w:rPr>
              <w:rFonts w:ascii="Times New Roman" w:hAnsi="Times New Roman" w:cs="Times New Roman"/>
              <w:sz w:val="24"/>
              <w:szCs w:val="24"/>
              <w:shd w:val="clear" w:color="auto" w:fill="FFFFFF"/>
            </w:rPr>
            <w:t xml:space="preserve"> (2013). Islamic banking and economic growth in GCC &amp; East Asia countries: A panel cointegration analysis.</w:t>
          </w:r>
          <w:r w:rsidR="00CF53E1" w:rsidRPr="000D1D1D">
            <w:rPr>
              <w:rStyle w:val="apple-converted-space"/>
              <w:rFonts w:ascii="Times New Roman" w:hAnsi="Times New Roman" w:cs="Times New Roman"/>
              <w:sz w:val="24"/>
              <w:szCs w:val="24"/>
              <w:shd w:val="clear" w:color="auto" w:fill="FFFFFF"/>
            </w:rPr>
            <w:t> </w:t>
          </w:r>
          <w:r w:rsidR="00CF53E1" w:rsidRPr="000D1D1D">
            <w:rPr>
              <w:rFonts w:ascii="Times New Roman" w:hAnsi="Times New Roman" w:cs="Times New Roman"/>
              <w:i/>
              <w:sz w:val="24"/>
              <w:szCs w:val="24"/>
            </w:rPr>
            <w:t>Journal of Islamic Accounting and Business Research</w:t>
          </w:r>
          <w:r w:rsidR="00CF53E1" w:rsidRPr="000D1D1D">
            <w:rPr>
              <w:rFonts w:ascii="Times New Roman" w:hAnsi="Times New Roman" w:cs="Times New Roman"/>
              <w:sz w:val="24"/>
              <w:szCs w:val="24"/>
              <w:shd w:val="clear" w:color="auto" w:fill="FFFFFF"/>
            </w:rPr>
            <w:t>, 4(2), 151 – 172.</w:t>
          </w:r>
        </w:p>
        <w:p w:rsidR="00D15C91" w:rsidRPr="000D1D1D" w:rsidRDefault="00D15C91" w:rsidP="00CF53E1">
          <w:pPr>
            <w:widowControl w:val="0"/>
            <w:autoSpaceDE w:val="0"/>
            <w:autoSpaceDN w:val="0"/>
            <w:adjustRightInd w:val="0"/>
            <w:spacing w:line="240" w:lineRule="auto"/>
            <w:ind w:left="500" w:hanging="500"/>
            <w:jc w:val="both"/>
            <w:rPr>
              <w:rFonts w:ascii="Times New Roman" w:hAnsi="Times New Roman" w:cs="Times New Roman"/>
              <w:sz w:val="24"/>
              <w:szCs w:val="24"/>
            </w:rPr>
          </w:pPr>
          <w:r w:rsidRPr="000D1D1D">
            <w:rPr>
              <w:rFonts w:ascii="Times New Roman" w:hAnsi="Times New Roman" w:cs="Times New Roman"/>
              <w:sz w:val="24"/>
              <w:szCs w:val="24"/>
            </w:rPr>
            <w:t>World Islamic Banking Competitiveness report (2012-2013)</w:t>
          </w:r>
        </w:p>
        <w:p w:rsidR="00CF53E1" w:rsidRPr="000D1D1D" w:rsidRDefault="00CF53E1" w:rsidP="00CF53E1">
          <w:pPr>
            <w:jc w:val="both"/>
            <w:rPr>
              <w:rFonts w:ascii="Times New Roman" w:hAnsi="Times New Roman" w:cs="Times New Roman"/>
              <w:sz w:val="24"/>
              <w:szCs w:val="24"/>
            </w:rPr>
          </w:pPr>
        </w:p>
        <w:p w:rsidR="00CF53E1" w:rsidRPr="000D1D1D" w:rsidRDefault="000A72BF" w:rsidP="00CF53E1">
          <w:pPr>
            <w:spacing w:after="160" w:line="259" w:lineRule="auto"/>
            <w:jc w:val="both"/>
            <w:rPr>
              <w:rFonts w:ascii="Times New Roman" w:hAnsi="Times New Roman" w:cs="Times New Roman"/>
              <w:sz w:val="24"/>
              <w:szCs w:val="24"/>
            </w:rPr>
          </w:pPr>
          <w:r w:rsidRPr="000D1D1D">
            <w:rPr>
              <w:rFonts w:ascii="Times New Roman" w:hAnsi="Times New Roman" w:cs="Times New Roman"/>
              <w:b/>
              <w:bCs/>
              <w:noProof/>
              <w:sz w:val="24"/>
              <w:szCs w:val="24"/>
            </w:rPr>
            <w:fldChar w:fldCharType="end"/>
          </w:r>
        </w:p>
      </w:sdtContent>
    </w:sdt>
    <w:p w:rsidR="00CF53E1" w:rsidRPr="000D1D1D" w:rsidRDefault="00CF53E1" w:rsidP="004160A0">
      <w:pPr>
        <w:rPr>
          <w:rFonts w:ascii="Times New Roman" w:hAnsi="Times New Roman" w:cs="Times New Roman"/>
          <w:b/>
          <w:sz w:val="24"/>
          <w:szCs w:val="24"/>
        </w:rPr>
      </w:pPr>
    </w:p>
    <w:sectPr w:rsidR="00CF53E1" w:rsidRPr="000D1D1D" w:rsidSect="00D076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23E" w:rsidRDefault="009D423E" w:rsidP="00230B10">
      <w:pPr>
        <w:spacing w:after="0" w:line="240" w:lineRule="auto"/>
      </w:pPr>
      <w:r>
        <w:separator/>
      </w:r>
    </w:p>
  </w:endnote>
  <w:endnote w:type="continuationSeparator" w:id="0">
    <w:p w:rsidR="009D423E" w:rsidRDefault="009D423E" w:rsidP="0023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23E" w:rsidRDefault="009D423E" w:rsidP="00230B10">
      <w:pPr>
        <w:spacing w:after="0" w:line="240" w:lineRule="auto"/>
      </w:pPr>
      <w:r>
        <w:separator/>
      </w:r>
    </w:p>
  </w:footnote>
  <w:footnote w:type="continuationSeparator" w:id="0">
    <w:p w:rsidR="009D423E" w:rsidRDefault="009D423E" w:rsidP="00230B10">
      <w:pPr>
        <w:spacing w:after="0" w:line="240" w:lineRule="auto"/>
      </w:pPr>
      <w:r>
        <w:continuationSeparator/>
      </w:r>
    </w:p>
  </w:footnote>
  <w:footnote w:id="1">
    <w:p w:rsidR="00180AE6" w:rsidRPr="002452E5" w:rsidRDefault="00180AE6" w:rsidP="008A006D">
      <w:pPr>
        <w:pStyle w:val="FootnoteText"/>
        <w:jc w:val="both"/>
        <w:rPr>
          <w:rFonts w:ascii="Times New Roman" w:hAnsi="Times New Roman" w:cs="Times New Roman"/>
          <w:lang w:val="en-US"/>
        </w:rPr>
      </w:pPr>
      <w:r w:rsidRPr="002452E5">
        <w:rPr>
          <w:rStyle w:val="FootnoteReference"/>
          <w:rFonts w:ascii="Times New Roman" w:hAnsi="Times New Roman" w:cs="Times New Roman"/>
        </w:rPr>
        <w:footnoteRef/>
      </w:r>
      <w:r w:rsidRPr="002452E5">
        <w:rPr>
          <w:rFonts w:ascii="Times New Roman" w:hAnsi="Times New Roman" w:cs="Times New Roman"/>
        </w:rPr>
        <w:t xml:space="preserve"> See Goldstein and Turner (1996) for </w:t>
      </w:r>
      <w:r>
        <w:rPr>
          <w:rFonts w:ascii="Times New Roman" w:hAnsi="Times New Roman" w:cs="Times New Roman"/>
        </w:rPr>
        <w:t>these</w:t>
      </w:r>
      <w:r w:rsidRPr="002452E5">
        <w:rPr>
          <w:rFonts w:ascii="Times New Roman" w:hAnsi="Times New Roman" w:cs="Times New Roman"/>
        </w:rPr>
        <w:t xml:space="preserve"> banking crises discussion </w:t>
      </w:r>
    </w:p>
  </w:footnote>
  <w:footnote w:id="2">
    <w:p w:rsidR="00180AE6" w:rsidRPr="002452E5" w:rsidRDefault="00180AE6" w:rsidP="008A006D">
      <w:pPr>
        <w:pStyle w:val="FootnoteText"/>
        <w:jc w:val="both"/>
        <w:rPr>
          <w:rFonts w:ascii="Times New Roman" w:hAnsi="Times New Roman" w:cs="Times New Roman"/>
          <w:lang w:val="en-US"/>
        </w:rPr>
      </w:pPr>
      <w:r w:rsidRPr="002452E5">
        <w:rPr>
          <w:rStyle w:val="FootnoteReference"/>
          <w:rFonts w:ascii="Times New Roman" w:hAnsi="Times New Roman" w:cs="Times New Roman"/>
        </w:rPr>
        <w:footnoteRef/>
      </w:r>
      <w:r w:rsidRPr="002452E5">
        <w:rPr>
          <w:rFonts w:ascii="Times New Roman" w:hAnsi="Times New Roman" w:cs="Times New Roman"/>
        </w:rPr>
        <w:t xml:space="preserve"> </w:t>
      </w:r>
      <w:r w:rsidRPr="002452E5">
        <w:rPr>
          <w:rFonts w:ascii="Times New Roman" w:hAnsi="Times New Roman" w:cs="Times New Roman"/>
          <w:lang w:val="en-US"/>
        </w:rPr>
        <w:t xml:space="preserve">Studies by </w:t>
      </w:r>
      <w:r w:rsidRPr="002452E5">
        <w:rPr>
          <w:rFonts w:ascii="Times New Roman" w:hAnsi="Times New Roman" w:cs="Times New Roman"/>
        </w:rPr>
        <w:t>(Smolo and Mirakhor, 2010) and Ahmad (2010)</w:t>
      </w:r>
    </w:p>
  </w:footnote>
  <w:footnote w:id="3">
    <w:p w:rsidR="00180AE6" w:rsidRPr="002452E5" w:rsidRDefault="00180AE6" w:rsidP="008A006D">
      <w:pPr>
        <w:pStyle w:val="FootnoteText"/>
        <w:jc w:val="both"/>
        <w:rPr>
          <w:rFonts w:ascii="Times New Roman" w:hAnsi="Times New Roman" w:cs="Times New Roman"/>
          <w:lang w:val="en-US"/>
        </w:rPr>
      </w:pPr>
      <w:r w:rsidRPr="002452E5">
        <w:rPr>
          <w:rStyle w:val="FootnoteReference"/>
          <w:rFonts w:ascii="Times New Roman" w:hAnsi="Times New Roman" w:cs="Times New Roman"/>
        </w:rPr>
        <w:footnoteRef/>
      </w:r>
      <w:r w:rsidRPr="002452E5">
        <w:rPr>
          <w:rFonts w:ascii="Times New Roman" w:hAnsi="Times New Roman" w:cs="Times New Roman"/>
        </w:rPr>
        <w:t xml:space="preserve"> </w:t>
      </w:r>
      <w:r>
        <w:rPr>
          <w:rFonts w:ascii="Times New Roman" w:hAnsi="Times New Roman" w:cs="Times New Roman"/>
        </w:rPr>
        <w:t>See</w:t>
      </w:r>
      <w:r w:rsidRPr="002452E5">
        <w:rPr>
          <w:rFonts w:ascii="Times New Roman" w:hAnsi="Times New Roman" w:cs="Times New Roman"/>
        </w:rPr>
        <w:t xml:space="preserve"> (Kia and </w:t>
      </w:r>
      <w:proofErr w:type="spellStart"/>
      <w:r w:rsidRPr="002452E5">
        <w:rPr>
          <w:rFonts w:ascii="Times New Roman" w:hAnsi="Times New Roman" w:cs="Times New Roman"/>
        </w:rPr>
        <w:t>Darrat</w:t>
      </w:r>
      <w:proofErr w:type="spellEnd"/>
      <w:r w:rsidRPr="002452E5">
        <w:rPr>
          <w:rFonts w:ascii="Times New Roman" w:hAnsi="Times New Roman" w:cs="Times New Roman"/>
        </w:rPr>
        <w:t>, 2003) and (Samad, 2004)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74623"/>
    <w:multiLevelType w:val="hybridMultilevel"/>
    <w:tmpl w:val="E4AC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14"/>
    <w:rsid w:val="0009667F"/>
    <w:rsid w:val="000A36CF"/>
    <w:rsid w:val="000A72BF"/>
    <w:rsid w:val="000D1D1D"/>
    <w:rsid w:val="00102221"/>
    <w:rsid w:val="001343CD"/>
    <w:rsid w:val="00154CC5"/>
    <w:rsid w:val="00180AE6"/>
    <w:rsid w:val="001C3081"/>
    <w:rsid w:val="001D25B9"/>
    <w:rsid w:val="001F6E2C"/>
    <w:rsid w:val="001F7518"/>
    <w:rsid w:val="00230B10"/>
    <w:rsid w:val="002809C8"/>
    <w:rsid w:val="00293A8E"/>
    <w:rsid w:val="002A3007"/>
    <w:rsid w:val="002E7573"/>
    <w:rsid w:val="00320B80"/>
    <w:rsid w:val="00337B2F"/>
    <w:rsid w:val="003654AA"/>
    <w:rsid w:val="003B7BB7"/>
    <w:rsid w:val="003F55F1"/>
    <w:rsid w:val="004160A0"/>
    <w:rsid w:val="0043725B"/>
    <w:rsid w:val="00450DF8"/>
    <w:rsid w:val="00465CE6"/>
    <w:rsid w:val="004956D8"/>
    <w:rsid w:val="00496A02"/>
    <w:rsid w:val="004A1CEE"/>
    <w:rsid w:val="004B2E50"/>
    <w:rsid w:val="004E1260"/>
    <w:rsid w:val="004E2186"/>
    <w:rsid w:val="004E5988"/>
    <w:rsid w:val="004F2F14"/>
    <w:rsid w:val="004F417A"/>
    <w:rsid w:val="00504436"/>
    <w:rsid w:val="00505733"/>
    <w:rsid w:val="005264AF"/>
    <w:rsid w:val="0053223A"/>
    <w:rsid w:val="005608A9"/>
    <w:rsid w:val="00574E16"/>
    <w:rsid w:val="005842C9"/>
    <w:rsid w:val="005C6549"/>
    <w:rsid w:val="005E16BF"/>
    <w:rsid w:val="00624E45"/>
    <w:rsid w:val="00637A6D"/>
    <w:rsid w:val="00643BD8"/>
    <w:rsid w:val="006A6AA0"/>
    <w:rsid w:val="006B28A4"/>
    <w:rsid w:val="006C5ADF"/>
    <w:rsid w:val="007063F8"/>
    <w:rsid w:val="007500BC"/>
    <w:rsid w:val="00761AC5"/>
    <w:rsid w:val="00767FC5"/>
    <w:rsid w:val="007A2DE4"/>
    <w:rsid w:val="007E39F5"/>
    <w:rsid w:val="007F3358"/>
    <w:rsid w:val="00803F31"/>
    <w:rsid w:val="0081009A"/>
    <w:rsid w:val="00810F05"/>
    <w:rsid w:val="008176C5"/>
    <w:rsid w:val="008402F8"/>
    <w:rsid w:val="00842BCC"/>
    <w:rsid w:val="00862614"/>
    <w:rsid w:val="00864575"/>
    <w:rsid w:val="008746F6"/>
    <w:rsid w:val="00885B70"/>
    <w:rsid w:val="008A006D"/>
    <w:rsid w:val="008A575D"/>
    <w:rsid w:val="008F34A0"/>
    <w:rsid w:val="008F473A"/>
    <w:rsid w:val="009213F3"/>
    <w:rsid w:val="00964744"/>
    <w:rsid w:val="00985359"/>
    <w:rsid w:val="0099464B"/>
    <w:rsid w:val="009D423E"/>
    <w:rsid w:val="009E2DA8"/>
    <w:rsid w:val="00A15DEC"/>
    <w:rsid w:val="00A27958"/>
    <w:rsid w:val="00A6689D"/>
    <w:rsid w:val="00A80577"/>
    <w:rsid w:val="00A828FF"/>
    <w:rsid w:val="00AB74FB"/>
    <w:rsid w:val="00AC5E6A"/>
    <w:rsid w:val="00AE54B2"/>
    <w:rsid w:val="00B32713"/>
    <w:rsid w:val="00B333C2"/>
    <w:rsid w:val="00BE3CDB"/>
    <w:rsid w:val="00BF5139"/>
    <w:rsid w:val="00C14720"/>
    <w:rsid w:val="00C43601"/>
    <w:rsid w:val="00C553B8"/>
    <w:rsid w:val="00C86BBC"/>
    <w:rsid w:val="00C91180"/>
    <w:rsid w:val="00CC39B1"/>
    <w:rsid w:val="00CC5496"/>
    <w:rsid w:val="00CE7B40"/>
    <w:rsid w:val="00CF53E1"/>
    <w:rsid w:val="00D056D1"/>
    <w:rsid w:val="00D0763C"/>
    <w:rsid w:val="00D15C91"/>
    <w:rsid w:val="00D46B5F"/>
    <w:rsid w:val="00D5703E"/>
    <w:rsid w:val="00D70E1D"/>
    <w:rsid w:val="00DB018C"/>
    <w:rsid w:val="00DB205E"/>
    <w:rsid w:val="00DE5F45"/>
    <w:rsid w:val="00E00EE3"/>
    <w:rsid w:val="00E0694D"/>
    <w:rsid w:val="00E169D2"/>
    <w:rsid w:val="00E559B5"/>
    <w:rsid w:val="00E9796D"/>
    <w:rsid w:val="00EA15D8"/>
    <w:rsid w:val="00F054C1"/>
    <w:rsid w:val="00F170A6"/>
    <w:rsid w:val="00F41D7C"/>
    <w:rsid w:val="00F71AA9"/>
    <w:rsid w:val="00F740A5"/>
    <w:rsid w:val="00FA4B5C"/>
    <w:rsid w:val="00FA5551"/>
    <w:rsid w:val="00FB4441"/>
    <w:rsid w:val="00FD067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95DD"/>
  <w15:docId w15:val="{8D722EC6-B3A8-4DF1-BC3A-28E7E4D5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6F6"/>
  </w:style>
  <w:style w:type="paragraph" w:styleId="Heading1">
    <w:name w:val="heading 1"/>
    <w:basedOn w:val="Normal"/>
    <w:next w:val="Normal"/>
    <w:link w:val="Heading1Char"/>
    <w:uiPriority w:val="9"/>
    <w:qFormat/>
    <w:rsid w:val="008A006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614"/>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7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F6"/>
    <w:rPr>
      <w:rFonts w:ascii="Tahoma" w:hAnsi="Tahoma" w:cs="Tahoma"/>
      <w:sz w:val="16"/>
      <w:szCs w:val="16"/>
    </w:rPr>
  </w:style>
  <w:style w:type="character" w:styleId="PlaceholderText">
    <w:name w:val="Placeholder Text"/>
    <w:basedOn w:val="DefaultParagraphFont"/>
    <w:uiPriority w:val="99"/>
    <w:semiHidden/>
    <w:rsid w:val="008746F6"/>
    <w:rPr>
      <w:color w:val="808080"/>
    </w:rPr>
  </w:style>
  <w:style w:type="paragraph" w:styleId="NoSpacing">
    <w:name w:val="No Spacing"/>
    <w:uiPriority w:val="1"/>
    <w:qFormat/>
    <w:rsid w:val="008746F6"/>
    <w:pPr>
      <w:spacing w:after="0" w:line="240" w:lineRule="auto"/>
    </w:pPr>
  </w:style>
  <w:style w:type="character" w:styleId="Emphasis">
    <w:name w:val="Emphasis"/>
    <w:basedOn w:val="DefaultParagraphFont"/>
    <w:uiPriority w:val="20"/>
    <w:qFormat/>
    <w:rsid w:val="008746F6"/>
    <w:rPr>
      <w:i/>
      <w:iCs/>
    </w:rPr>
  </w:style>
  <w:style w:type="paragraph" w:styleId="ListParagraph">
    <w:name w:val="List Paragraph"/>
    <w:basedOn w:val="Normal"/>
    <w:uiPriority w:val="34"/>
    <w:qFormat/>
    <w:rsid w:val="0009667F"/>
    <w:pPr>
      <w:spacing w:after="0"/>
      <w:ind w:left="720"/>
      <w:contextualSpacing/>
    </w:pPr>
    <w:rPr>
      <w:rFonts w:ascii="Times New Roman" w:eastAsia="SimSun" w:hAnsi="Times New Roman" w:cs="Times New Roman"/>
      <w:sz w:val="24"/>
      <w:lang w:val="en-US" w:eastAsia="zh-CN"/>
    </w:rPr>
  </w:style>
  <w:style w:type="table" w:styleId="TableGrid">
    <w:name w:val="Table Grid"/>
    <w:basedOn w:val="TableNormal"/>
    <w:uiPriority w:val="39"/>
    <w:rsid w:val="00096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30B1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0B10"/>
  </w:style>
  <w:style w:type="paragraph" w:styleId="Footer">
    <w:name w:val="footer"/>
    <w:basedOn w:val="Normal"/>
    <w:link w:val="FooterChar"/>
    <w:uiPriority w:val="99"/>
    <w:semiHidden/>
    <w:unhideWhenUsed/>
    <w:rsid w:val="00230B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0B10"/>
  </w:style>
  <w:style w:type="paragraph" w:customStyle="1" w:styleId="BodyTextCalibri">
    <w:name w:val="Body Text + Calibri"/>
    <w:aliases w:val="11 pt,Justified,Line spacing:  single,Left:  0...,Normal + Calibri,Right:  0...."/>
    <w:basedOn w:val="Normal"/>
    <w:rsid w:val="00E0694D"/>
    <w:pPr>
      <w:spacing w:after="120" w:line="240" w:lineRule="auto"/>
      <w:ind w:left="360" w:right="393"/>
    </w:pPr>
    <w:rPr>
      <w:rFonts w:ascii="Calibri" w:eastAsia="Times New Roman" w:hAnsi="Calibri" w:cs="Arial"/>
      <w:szCs w:val="20"/>
      <w:lang w:val="en-US"/>
    </w:rPr>
  </w:style>
  <w:style w:type="character" w:styleId="Hyperlink">
    <w:name w:val="Hyperlink"/>
    <w:basedOn w:val="DefaultParagraphFont"/>
    <w:uiPriority w:val="99"/>
    <w:unhideWhenUsed/>
    <w:rsid w:val="00E0694D"/>
    <w:rPr>
      <w:color w:val="0000FF" w:themeColor="hyperlink"/>
      <w:u w:val="single"/>
    </w:rPr>
  </w:style>
  <w:style w:type="paragraph" w:styleId="NormalWeb">
    <w:name w:val="Normal (Web)"/>
    <w:basedOn w:val="Normal"/>
    <w:uiPriority w:val="99"/>
    <w:unhideWhenUsed/>
    <w:rsid w:val="002A300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2A3007"/>
  </w:style>
  <w:style w:type="character" w:customStyle="1" w:styleId="Heading1Char">
    <w:name w:val="Heading 1 Char"/>
    <w:basedOn w:val="DefaultParagraphFont"/>
    <w:link w:val="Heading1"/>
    <w:uiPriority w:val="9"/>
    <w:rsid w:val="008A006D"/>
    <w:rPr>
      <w:rFonts w:asciiTheme="majorHAnsi" w:eastAsiaTheme="majorEastAsia" w:hAnsiTheme="majorHAnsi" w:cstheme="majorBidi"/>
      <w:b/>
      <w:bCs/>
      <w:color w:val="365F91" w:themeColor="accent1" w:themeShade="BF"/>
      <w:sz w:val="28"/>
      <w:szCs w:val="28"/>
      <w:lang w:val="en-US" w:eastAsia="ja-JP"/>
    </w:rPr>
  </w:style>
  <w:style w:type="paragraph" w:styleId="FootnoteText">
    <w:name w:val="footnote text"/>
    <w:basedOn w:val="Normal"/>
    <w:link w:val="FootnoteTextChar"/>
    <w:uiPriority w:val="99"/>
    <w:semiHidden/>
    <w:unhideWhenUsed/>
    <w:rsid w:val="008A006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A006D"/>
    <w:rPr>
      <w:sz w:val="20"/>
      <w:szCs w:val="20"/>
      <w:lang w:val="en-GB"/>
    </w:rPr>
  </w:style>
  <w:style w:type="character" w:styleId="FootnoteReference">
    <w:name w:val="footnote reference"/>
    <w:basedOn w:val="DefaultParagraphFont"/>
    <w:uiPriority w:val="99"/>
    <w:semiHidden/>
    <w:unhideWhenUsed/>
    <w:rsid w:val="008A006D"/>
    <w:rPr>
      <w:vertAlign w:val="superscript"/>
    </w:rPr>
  </w:style>
  <w:style w:type="paragraph" w:styleId="Bibliography">
    <w:name w:val="Bibliography"/>
    <w:basedOn w:val="Normal"/>
    <w:next w:val="Normal"/>
    <w:uiPriority w:val="37"/>
    <w:unhideWhenUsed/>
    <w:rsid w:val="00CF53E1"/>
    <w:pPr>
      <w:spacing w:after="160" w:line="259"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2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d.khaliq@gmail.com" TargetMode="External"/><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emeraldinsight.com/action/doSearch?target=emerald&amp;logicalOpe0=AND&amp;text1=Yusof,%20R&amp;field1=Contrib" TargetMode="External"/><Relationship Id="rId10" Type="http://schemas.openxmlformats.org/officeDocument/2006/relationships/image" Target="media/image1.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hassanudinmtt@help.edu.my" TargetMode="External"/><Relationship Id="rId14" Type="http://schemas.openxmlformats.org/officeDocument/2006/relationships/image" Target="media/image4.wmf"/><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Has13</b:Tag>
    <b:SourceType>JournalArticle</b:SourceType>
    <b:Guid>{6A92B6A7-BC06-4060-A4CC-7F2BC6796E1D}</b:Guid>
    <b:Title>Export Led Growth Hypothesis: Econometric Evidence from Malaysia</b:Title>
    <b:Year>2013</b:Year>
    <b:Author>
      <b:Author>
        <b:NameList>
          <b:Person>
            <b:Last>Hassanudin.M.T.T</b:Last>
          </b:Person>
          <b:Person>
            <b:Last>Tan.S.E</b:Last>
          </b:Person>
          <b:Person>
            <b:Last>Vaidik.S</b:Last>
          </b:Person>
        </b:NameList>
      </b:Author>
    </b:Author>
    <b:JournalName>Journal of International Business and Economy. Vo.14 (2).</b:JournalName>
    <b:Pages>95-112</b:Pages>
    <b:RefOrder>1</b:RefOrder>
  </b:Source>
  <b:Source>
    <b:Tag>Obi04</b:Tag>
    <b:SourceType>JournalArticle</b:SourceType>
    <b:Guid>{B39AD55E-2D4D-486F-ADC8-2D02C9F9C0EA}</b:Guid>
    <b:Author>
      <b:Author>
        <b:NameList>
          <b:Person>
            <b:Last>Bacha</b:Last>
            <b:First>Obiyathulla</b:First>
            <b:Middle>Ismath</b:Middle>
          </b:Person>
        </b:NameList>
      </b:Author>
    </b:Author>
    <b:Title>Dual Banking Systems and Interest Rate Risk for Islamic Banks</b:Title>
    <b:JournalName>MPRA Paper 12763, University Library of Munich, Germany, revised Mar 2004</b:JournalName>
    <b:Year>2004</b:Year>
    <b:RefOrder>1</b:RefOrder>
  </b:Source>
  <b:Source>
    <b:Tag>Max00</b:Tag>
    <b:SourceType>JournalArticle</b:SourceType>
    <b:Guid>{5F3D41DB-36AA-4743-968B-A9BE2F920271}</b:Guid>
    <b:Author>
      <b:Author>
        <b:NameList>
          <b:Person>
            <b:Last>Maximilian J.B. Hall</b:Last>
            <b:First>Humayon</b:First>
            <b:Middle>A. Dar</b:Middle>
          </b:Person>
          <b:Person>
            <b:Last>Muljawan</b:Last>
            <b:First>Dadang</b:First>
          </b:Person>
        </b:NameList>
      </b:Author>
    </b:Author>
    <b:Title>A Capital Adequacy Framework for Islamic Banks : The Need to Reconcile Depositors’ Risk Aversion with Managers’ Risk Taking</b:Title>
    <b:Year>2000</b:Year>
    <b:JournalName>Proceedings of the Fifth Harvard University Forum on Islamic Finance: Islamic Finance: Dynamics and Development</b:JournalName>
    <b:Pages>21-42</b:Pages>
    <b:RefOrder>2</b:RefOrder>
  </b:Source>
  <b:Source>
    <b:Tag>Muh12</b:Tag>
    <b:SourceType>JournalArticle</b:SourceType>
    <b:Guid>{9C854D9C-B56D-4474-80E2-140435086343}</b:Guid>
    <b:Author>
      <b:Author>
        <b:NameList>
          <b:Person>
            <b:Last>Abduh</b:Last>
            <b:First>Muhamad</b:First>
          </b:Person>
          <b:Person>
            <b:Last>Chowdhury</b:Last>
            <b:First>Nazreen</b:First>
            <b:Middle>T.</b:Middle>
          </b:Person>
        </b:NameList>
      </b:Author>
    </b:Author>
    <b:Title>Does Islamic Banking Matter for Economic Growth in Bangladesh?</b:Title>
    <b:JournalName>Journal of Islamic Economics, Banking and Finance, 8 (3)</b:JournalName>
    <b:Year>2012</b:Year>
    <b:Pages>104-113</b:Pages>
    <b:RefOrder>3</b:RefOrder>
  </b:Source>
  <b:Source>
    <b:Tag>Abd12</b:Tag>
    <b:SourceType>JournalArticle</b:SourceType>
    <b:Guid>{BD56F5E2-C1EF-45F2-BE94-696F60C39345}</b:Guid>
    <b:Author>
      <b:Author>
        <b:NameList>
          <b:Person>
            <b:Last>Abduh</b:Last>
            <b:First>M.</b:First>
          </b:Person>
          <b:Person>
            <b:Last>Omar</b:Last>
            <b:First>M.</b:First>
            <b:Middle>Azmi</b:Middle>
          </b:Person>
        </b:NameList>
      </b:Author>
    </b:Author>
    <b:Title>Islamic banking and economic growth: the Indonesian experience</b:Title>
    <b:JournalName>International Journal of Islamic and Middle Eastern Finance and Management, 5(1)</b:JournalName>
    <b:Year>2012</b:Year>
    <b:Pages>35-47</b:Pages>
    <b:RefOrder>4</b:RefOrder>
  </b:Source>
  <b:Source>
    <b:Tag>Tur12</b:Tag>
    <b:SourceType>JournalArticle</b:SourceType>
    <b:Guid>{46FBB8F7-931A-4338-9356-930982FEE8E6}</b:Guid>
    <b:Author>
      <b:Author>
        <b:NameList>
          <b:Person>
            <b:Last>Manap</b:Last>
            <b:First>Turkhan</b:First>
            <b:Middle>Ali Abdul</b:Middle>
          </b:Person>
          <b:Person>
            <b:Last>Abduh</b:Last>
            <b:First>Muhamad</b:First>
          </b:Person>
          <b:Person>
            <b:Last>Omar</b:Last>
            <b:First>Mohd</b:First>
            <b:Middle>Azmi</b:Middle>
          </b:Person>
        </b:NameList>
      </b:Author>
    </b:Author>
    <b:Title>Islamic Banking-Growth Nexus: Evidence from Toda-Yamamoto and Bootstrap Granger Causality Test</b:Title>
    <b:JournalName>Journal of Islamic Finance, Vol. 1 No. 1</b:JournalName>
    <b:Year>2012</b:Year>
    <b:Pages>59-66</b:Pages>
    <b:RefOrder>5</b:RefOrder>
  </b:Source>
  <b:Source>
    <b:Tag>Haf09</b:Tag>
    <b:SourceType>JournalArticle</b:SourceType>
    <b:Guid>{9CDA2BD7-A184-4B17-9E99-EE4A5BB5D9A4}</b:Guid>
    <b:Author>
      <b:Author>
        <b:NameList>
          <b:Person>
            <b:Last>Furqani</b:Last>
            <b:First>Hafas</b:First>
          </b:Person>
          <b:Person>
            <b:Last>Mulyany</b:Last>
            <b:First>Ratna</b:First>
          </b:Person>
        </b:NameList>
      </b:Author>
    </b:Author>
    <b:Title>Islamic Banking and Economic Growth: Empirical Evidence from Malaysia</b:Title>
    <b:JournalName>Journal of Economics Cooperation and Development</b:JournalName>
    <b:Year>2009</b:Year>
    <b:Pages>59-74</b:Pages>
    <b:RefOrder>6</b:RefOrder>
  </b:Source>
  <b:Source>
    <b:Tag>Maj10</b:Tag>
    <b:SourceType>JournalArticle</b:SourceType>
    <b:Guid>{0E0869B4-C39E-4DE6-AF90-6DDD4860DBE5}</b:Guid>
    <b:Author>
      <b:Author>
        <b:NameList>
          <b:Person>
            <b:Last>Majid</b:Last>
            <b:First>Shabri</b:First>
            <b:Middle>A.</b:Middle>
          </b:Person>
          <b:Person>
            <b:Last>Kassim</b:Last>
            <b:First>Salina</b:First>
          </b:Person>
        </b:NameList>
      </b:Author>
    </b:Author>
    <b:Title>Islamic finance and economic growth: The Malaysian experience</b:Title>
    <b:JournalName>Paper presented in Kuala Lumpur Islamic Finance Forum, Kuala Lumpur, 2-5 August 2010</b:JournalName>
    <b:Year>2010</b:Year>
    <b:RefOrder>7</b:RefOrder>
  </b:Source>
  <b:Source>
    <b:Tag>Kat13</b:Tag>
    <b:SourceType>JournalArticle</b:SourceType>
    <b:Guid>{55B22F94-FFCA-46E6-B416-16661622A5E7}</b:Guid>
    <b:Author>
      <b:Author>
        <b:NameList>
          <b:Person>
            <b:Last>Johnson</b:Last>
            <b:First>Katherine</b:First>
          </b:Person>
        </b:NameList>
      </b:Author>
    </b:Author>
    <b:Title>The Role of Islamic Banking in Economic Growth</b:Title>
    <b:JournalName>CMC Senior Theses. Paper 642</b:JournalName>
    <b:Year>2013</b:Year>
    <b:RefOrder>8</b:RefOrder>
  </b:Source>
  <b:Source>
    <b:Tag>Dem12</b:Tag>
    <b:SourceType>JournalArticle</b:SourceType>
    <b:Guid>{22ED77AC-3896-4A76-8980-2282A3334E5F}</b:Guid>
    <b:Author>
      <b:Author>
        <b:NameList>
          <b:Person>
            <b:Last>Demirguc</b:Last>
            <b:First>Kunt</b:First>
          </b:Person>
          <b:Person>
            <b:Last>Feyen</b:Last>
            <b:First>Asli</b:First>
          </b:Person>
          <b:Person>
            <b:Last>Levine</b:Last>
            <b:First>Erik</b:First>
            <b:Middle>Ross</b:Middle>
          </b:Person>
        </b:NameList>
      </b:Author>
    </b:Author>
    <b:Title>The Evolving Importance of Banks and Securities Markets</b:Title>
    <b:JournalName>National Bureau of Economic Research Working Paper No. 18004</b:JournalName>
    <b:Year>2012</b:Year>
    <b:RefOrder>9</b:RefOrder>
  </b:Source>
  <b:Source>
    <b:Tag>Ehs14</b:Tag>
    <b:SourceType>JournalArticle</b:SourceType>
    <b:Guid>{A60858B7-63A7-4C42-9296-CADA6B9DE81B}</b:Guid>
    <b:Title>The Stock Markets, Banks and Growth Nexus: Asian Islamic Countries</b:Title>
    <b:Year>2014</b:Year>
    <b:Author>
      <b:Author>
        <b:NameList>
          <b:Person>
            <b:Last>Rajabi</b:Last>
            <b:First>Ehsan</b:First>
          </b:Person>
          <b:Person>
            <b:Last>Muhammad</b:Last>
            <b:First>Junaina</b:First>
          </b:Person>
        </b:NameList>
      </b:Author>
    </b:Author>
    <b:JournalName>Economic Notes Vol. 43, No. 2-2014: Review of Banking, Finance and Monetary Economics</b:JournalName>
    <b:Pages>137-165</b:Pages>
    <b:RefOrder>10</b:RefOrder>
  </b:Source>
  <b:Source>
    <b:Tag>Lau14</b:Tag>
    <b:SourceType>JournalArticle</b:SourceType>
    <b:Guid>{10F87931-242E-4D1F-9F45-E9B6B136DA8C}</b:Guid>
    <b:Author>
      <b:Author>
        <b:NameList>
          <b:Person>
            <b:Last>Gheeraert</b:Last>
            <b:First>Laurent</b:First>
          </b:Person>
        </b:NameList>
      </b:Author>
    </b:Author>
    <b:Title>Does Islamic finance spur banking sector development?</b:Title>
    <b:JournalName>Journal of Economic Behavior &amp; Organization</b:JournalName>
    <b:Year>2014</b:Year>
    <b:Pages>1-17</b:Pages>
    <b:RefOrder>11</b:RefOrder>
  </b:Source>
  <b:Source>
    <b:Tag>MKa03</b:Tag>
    <b:SourceType>JournalArticle</b:SourceType>
    <b:Guid>{B3B1A406-08DA-4D8A-90CA-C5BA4227A6CF}</b:Guid>
    <b:Author>
      <b:Author>
        <b:NameList>
          <b:Person>
            <b:Last>Hassan</b:Last>
            <b:First>M.</b:First>
            <b:Middle>Kabir</b:Middle>
          </b:Person>
          <b:Person>
            <b:Last>Bashir</b:Last>
            <b:First>Abdel-Hameed</b:First>
            <b:Middle>M.</b:Middle>
          </b:Person>
        </b:NameList>
      </b:Author>
    </b:Author>
    <b:Title>Determinants of Islamic Banking Profitability</b:Title>
    <b:JournalName>10th ERF Annual Conference, Morocco</b:JournalName>
    <b:Year>2003</b:Year>
    <b:Pages>16-18</b:Pages>
    <b:RefOrder>12</b:RefOrder>
  </b:Source>
  <b:Source>
    <b:Tag>Zam97</b:Tag>
    <b:SourceType>JournalArticle</b:SourceType>
    <b:Guid>{4969A022-D5C5-443B-85A7-A04B3ACC676B}</b:Guid>
    <b:Author>
      <b:Author>
        <b:NameList>
          <b:Person>
            <b:Last>Iqbal</b:Last>
            <b:First>Zameer</b:First>
          </b:Person>
        </b:NameList>
      </b:Author>
    </b:Author>
    <b:Title>Islamic Financial Systems, Finance and Development</b:Title>
    <b:Year>1997</b:Year>
    <b:Pages>42-45</b:Pages>
    <b:RefOrder>13</b:RefOrder>
  </b:Source>
  <b:Source>
    <b:Tag>MKa11</b:Tag>
    <b:SourceType>JournalArticle</b:SourceType>
    <b:Guid>{0D0235F2-0A04-4D08-9F86-CF2DBA5EA054}</b:Guid>
    <b:Author>
      <b:Author>
        <b:NameList>
          <b:Person>
            <b:Last>Hassan</b:Last>
            <b:First>M.</b:First>
            <b:Middle>Kabir</b:Middle>
          </b:Person>
          <b:Person>
            <b:Last>Sanchez</b:Last>
            <b:First>Benito</b:First>
          </b:Person>
          <b:Person>
            <b:Last>Yu</b:Last>
            <b:First>Jung-Suk</b:First>
          </b:Person>
        </b:NameList>
      </b:Author>
    </b:Author>
    <b:Title>Financial Development and Economic Growth in the Organization of Islamic Conference Countries</b:Title>
    <b:JournalName>Journal of King Abdulaziz University: Islamic Economics, Vol. 24 No. 1</b:JournalName>
    <b:Year>2011</b:Year>
    <b:Pages>145-172</b:Pages>
    <b:RefOrder>14</b:RefOrder>
  </b:Source>
  <b:Source>
    <b:Tag>Nie03</b:Tag>
    <b:SourceType>JournalArticle</b:SourceType>
    <b:Guid>{EDB805F6-919B-450C-88C5-771F4A0F86F0}</b:Guid>
    <b:Author>
      <b:Author>
        <b:NameList>
          <b:Person>
            <b:Last>Hermes</b:Last>
            <b:First>Niels</b:First>
          </b:Person>
          <b:Person>
            <b:Last>Lensink</b:Last>
            <b:First>Robert</b:First>
          </b:Person>
        </b:NameList>
      </b:Author>
    </b:Author>
    <b:Title>Foreign Direct Investment, Financial Development and Economic Growth</b:Title>
    <b:JournalName>The Journal of Development Studies</b:JournalName>
    <b:Year>2003</b:Year>
    <b:Pages>142-163</b:Pages>
    <b:RefOrder>15</b:RefOrder>
  </b:Source>
  <b:Source>
    <b:Tag>Vol06</b:Tag>
    <b:SourceType>JournalArticle</b:SourceType>
    <b:Guid>{964B9BB0-BF40-4246-A102-E572EC0C129F}</b:Guid>
    <b:Author>
      <b:Author>
        <b:NameList>
          <b:Person>
            <b:Last>Volker</b:Last>
            <b:First>N.</b:First>
          </b:Person>
        </b:NameList>
      </b:Author>
    </b:Author>
    <b:Title>Islamic Economic system – A Threat to Development? </b:Title>
    <b:JournalName>MPRA Paper No. 6449</b:JournalName>
    <b:Year>2006</b:Year>
    <b:RefOrder>16</b:RefOrder>
  </b:Source>
  <b:Source>
    <b:Tag>Moh14</b:Tag>
    <b:SourceType>JournalArticle</b:SourceType>
    <b:Guid>{1CF2C287-C574-4627-82D8-1BA6006943DD}</b:Guid>
    <b:Author>
      <b:Author>
        <b:NameList>
          <b:Person>
            <b:Last>Al-Oqool</b:Last>
            <b:First>Mohammed</b:First>
            <b:Middle>Ali</b:Middle>
          </b:Person>
          <b:Person>
            <b:Last>Okab</b:Last>
            <b:First>Reem</b:First>
          </b:Person>
          <b:Person>
            <b:Last>Bashayreh</b:Last>
            <b:First>Mohammed</b:First>
          </b:Person>
        </b:NameList>
      </b:Author>
    </b:Author>
    <b:Title>Financial Islamic Banking Development and Economic Growth: A Case Study of Jordan</b:Title>
    <b:JournalName>International Journal of Economics and Finance; Vol. 6, No. 3</b:JournalName>
    <b:Year>2014</b:Year>
    <b:Pages>72-79</b:Pages>
    <b:RefOrder>17</b:RefOrder>
  </b:Source>
</b:Sources>
</file>

<file path=customXml/itemProps1.xml><?xml version="1.0" encoding="utf-8"?>
<ds:datastoreItem xmlns:ds="http://schemas.openxmlformats.org/officeDocument/2006/customXml" ds:itemID="{99F3E0ED-E8A2-4C85-A39D-9E5A4087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hassanudinmtt</dc:creator>
  <cp:lastModifiedBy>MOHD THAS THAKER, HASSANUDIN</cp:lastModifiedBy>
  <cp:revision>2</cp:revision>
  <cp:lastPrinted>2014-09-08T10:48:00Z</cp:lastPrinted>
  <dcterms:created xsi:type="dcterms:W3CDTF">2017-05-25T06:47:00Z</dcterms:created>
  <dcterms:modified xsi:type="dcterms:W3CDTF">2017-05-25T06:47:00Z</dcterms:modified>
</cp:coreProperties>
</file>